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619E" w14:textId="686DC87F" w:rsidR="00EE4390" w:rsidRDefault="00EE4390" w:rsidP="00EE4390">
      <w:pPr>
        <w:spacing w:after="0"/>
        <w:jc w:val="right"/>
        <w:rPr>
          <w:rFonts w:ascii="Times New Roman" w:hAnsi="Times New Roman" w:cs="Times New Roman"/>
          <w:b/>
          <w:bCs/>
        </w:rPr>
      </w:pPr>
      <w:r>
        <w:rPr>
          <w:rFonts w:ascii="Times New Roman" w:hAnsi="Times New Roman" w:cs="Times New Roman"/>
          <w:b/>
          <w:bCs/>
        </w:rPr>
        <w:t>Anexă</w:t>
      </w:r>
    </w:p>
    <w:p w14:paraId="5F6D651B" w14:textId="77777777" w:rsidR="00EE4390" w:rsidRDefault="00EE4390" w:rsidP="00947BB7">
      <w:pPr>
        <w:spacing w:after="0"/>
        <w:jc w:val="center"/>
        <w:rPr>
          <w:rFonts w:ascii="Times New Roman" w:hAnsi="Times New Roman" w:cs="Times New Roman"/>
          <w:b/>
          <w:bCs/>
        </w:rPr>
      </w:pPr>
    </w:p>
    <w:p w14:paraId="15F186B3" w14:textId="370BEC1A" w:rsidR="00947BB7" w:rsidRPr="00947BB7" w:rsidRDefault="00724C7B" w:rsidP="00947BB7">
      <w:pPr>
        <w:spacing w:after="0"/>
        <w:jc w:val="center"/>
        <w:rPr>
          <w:rFonts w:ascii="Times New Roman" w:hAnsi="Times New Roman" w:cs="Times New Roman"/>
          <w:b/>
          <w:bCs/>
        </w:rPr>
      </w:pPr>
      <w:r w:rsidRPr="00947BB7">
        <w:rPr>
          <w:rFonts w:ascii="Times New Roman" w:hAnsi="Times New Roman" w:cs="Times New Roman"/>
          <w:b/>
          <w:bCs/>
        </w:rPr>
        <w:t xml:space="preserve">Informații pentru evaluarea prealabilă a Strategiei Energetice a Republicii Moldova </w:t>
      </w:r>
    </w:p>
    <w:p w14:paraId="1FEABAF3" w14:textId="61E1D755" w:rsidR="00724C7B" w:rsidRPr="00947BB7" w:rsidRDefault="005C3354" w:rsidP="00947BB7">
      <w:pPr>
        <w:jc w:val="center"/>
        <w:rPr>
          <w:rFonts w:ascii="Times New Roman" w:hAnsi="Times New Roman" w:cs="Times New Roman"/>
          <w:b/>
          <w:bCs/>
        </w:rPr>
      </w:pPr>
      <w:r>
        <w:rPr>
          <w:rFonts w:ascii="Times New Roman" w:hAnsi="Times New Roman" w:cs="Times New Roman"/>
          <w:b/>
          <w:bCs/>
        </w:rPr>
        <w:t>Pentru perioada 2025-</w:t>
      </w:r>
      <w:r w:rsidR="00724C7B" w:rsidRPr="00947BB7">
        <w:rPr>
          <w:rFonts w:ascii="Times New Roman" w:hAnsi="Times New Roman" w:cs="Times New Roman"/>
          <w:b/>
          <w:bCs/>
        </w:rPr>
        <w:t>2050</w:t>
      </w:r>
    </w:p>
    <w:p w14:paraId="0B12C928" w14:textId="520F6629" w:rsidR="00724C7B" w:rsidRDefault="00062138" w:rsidP="00062138">
      <w:pPr>
        <w:ind w:firstLine="720"/>
        <w:jc w:val="both"/>
        <w:rPr>
          <w:rFonts w:ascii="Times New Roman" w:hAnsi="Times New Roman" w:cs="Times New Roman"/>
          <w:b/>
          <w:bCs/>
          <w:i/>
          <w:iCs/>
        </w:rPr>
      </w:pPr>
      <w:r w:rsidRPr="00062138">
        <w:rPr>
          <w:rFonts w:ascii="Times New Roman" w:hAnsi="Times New Roman" w:cs="Times New Roman"/>
          <w:b/>
          <w:bCs/>
          <w:i/>
          <w:iCs/>
        </w:rPr>
        <w:t>1</w:t>
      </w:r>
      <w:r w:rsidR="00724C7B" w:rsidRPr="00062138">
        <w:rPr>
          <w:rFonts w:ascii="Times New Roman" w:hAnsi="Times New Roman" w:cs="Times New Roman"/>
          <w:b/>
          <w:bCs/>
          <w:i/>
          <w:iCs/>
        </w:rPr>
        <w:t xml:space="preserve">) </w:t>
      </w:r>
      <w:r w:rsidRPr="00062138">
        <w:rPr>
          <w:rFonts w:ascii="Times New Roman" w:hAnsi="Times New Roman" w:cs="Times New Roman"/>
          <w:b/>
          <w:bCs/>
          <w:i/>
          <w:iCs/>
        </w:rPr>
        <w:t>i</w:t>
      </w:r>
      <w:r w:rsidR="00724C7B" w:rsidRPr="00062138">
        <w:rPr>
          <w:rFonts w:ascii="Times New Roman" w:hAnsi="Times New Roman" w:cs="Times New Roman"/>
          <w:b/>
          <w:bCs/>
          <w:i/>
          <w:iCs/>
        </w:rPr>
        <w:t>nformații despre inițiator</w:t>
      </w:r>
    </w:p>
    <w:p w14:paraId="3CD23A97" w14:textId="77777777" w:rsidR="00062138" w:rsidRDefault="00062138" w:rsidP="00062138">
      <w:pPr>
        <w:spacing w:after="0"/>
        <w:ind w:firstLine="720"/>
        <w:jc w:val="both"/>
        <w:rPr>
          <w:rFonts w:ascii="Times New Roman" w:hAnsi="Times New Roman" w:cs="Times New Roman"/>
        </w:rPr>
      </w:pPr>
      <w:r w:rsidRPr="00062138">
        <w:rPr>
          <w:rFonts w:ascii="Times New Roman" w:hAnsi="Times New Roman" w:cs="Times New Roman"/>
          <w:u w:val="single"/>
        </w:rPr>
        <w:t>a) denumirea și adresa instituției</w:t>
      </w:r>
    </w:p>
    <w:p w14:paraId="0C1B8826" w14:textId="77777777" w:rsidR="00062138" w:rsidRDefault="00724C7B" w:rsidP="00062138">
      <w:pPr>
        <w:spacing w:after="0"/>
        <w:jc w:val="both"/>
        <w:rPr>
          <w:rFonts w:ascii="Times New Roman" w:hAnsi="Times New Roman" w:cs="Times New Roman"/>
        </w:rPr>
      </w:pPr>
      <w:r w:rsidRPr="00062138">
        <w:rPr>
          <w:rFonts w:ascii="Times New Roman" w:hAnsi="Times New Roman" w:cs="Times New Roman"/>
        </w:rPr>
        <w:t>Ministerul Energiei al Republicii Moldova</w:t>
      </w:r>
    </w:p>
    <w:p w14:paraId="407F4158" w14:textId="264A513E" w:rsidR="00724C7B" w:rsidRDefault="00724C7B" w:rsidP="00062138">
      <w:pPr>
        <w:jc w:val="both"/>
        <w:rPr>
          <w:rFonts w:ascii="Times New Roman" w:hAnsi="Times New Roman" w:cs="Times New Roman"/>
        </w:rPr>
      </w:pPr>
      <w:r w:rsidRPr="00062138">
        <w:rPr>
          <w:rFonts w:ascii="Times New Roman" w:hAnsi="Times New Roman" w:cs="Times New Roman"/>
        </w:rPr>
        <w:t>Adresa instituției: bd. Ștefan cel Mare și Sfânt nr. 134, Chișinău, Republica Moldova</w:t>
      </w:r>
    </w:p>
    <w:p w14:paraId="3B3253D4" w14:textId="28F90616" w:rsidR="00062138" w:rsidRPr="00062138" w:rsidRDefault="00062138" w:rsidP="00062138">
      <w:pPr>
        <w:spacing w:after="0"/>
        <w:ind w:firstLine="720"/>
        <w:jc w:val="both"/>
        <w:rPr>
          <w:rFonts w:ascii="Times New Roman" w:hAnsi="Times New Roman" w:cs="Times New Roman"/>
          <w:u w:val="single"/>
        </w:rPr>
      </w:pPr>
      <w:r w:rsidRPr="00062138">
        <w:rPr>
          <w:rFonts w:asciiTheme="majorBidi" w:hAnsiTheme="majorBidi" w:cstheme="majorBidi"/>
          <w:bCs/>
          <w:u w:val="single"/>
          <w:lang w:val="ro-MD" w:eastAsia="uk-UA"/>
        </w:rPr>
        <w:t>b) numele, prenumele, adresa şi datele de contact ale reprezentantului autorizat de inițiator</w:t>
      </w:r>
    </w:p>
    <w:p w14:paraId="6CFAA71B" w14:textId="0811ABAE" w:rsidR="00724C7B" w:rsidRPr="00062138" w:rsidRDefault="00724C7B" w:rsidP="00062138">
      <w:pPr>
        <w:spacing w:after="0"/>
        <w:jc w:val="both"/>
        <w:rPr>
          <w:rFonts w:ascii="Times New Roman" w:hAnsi="Times New Roman" w:cs="Times New Roman"/>
        </w:rPr>
      </w:pPr>
      <w:r w:rsidRPr="00062138">
        <w:rPr>
          <w:rFonts w:ascii="Times New Roman" w:hAnsi="Times New Roman" w:cs="Times New Roman"/>
        </w:rPr>
        <w:t>Reprezentant autorizat: Vlad VIȚU, Consulta</w:t>
      </w:r>
      <w:r w:rsidR="001265B0" w:rsidRPr="00062138">
        <w:rPr>
          <w:rFonts w:ascii="Times New Roman" w:hAnsi="Times New Roman" w:cs="Times New Roman"/>
        </w:rPr>
        <w:t>n</w:t>
      </w:r>
      <w:r w:rsidRPr="00062138">
        <w:rPr>
          <w:rFonts w:ascii="Times New Roman" w:hAnsi="Times New Roman" w:cs="Times New Roman"/>
        </w:rPr>
        <w:t>t principal</w:t>
      </w:r>
      <w:r w:rsidR="00C370F2" w:rsidRPr="00062138">
        <w:rPr>
          <w:rFonts w:ascii="Times New Roman" w:hAnsi="Times New Roman" w:cs="Times New Roman"/>
        </w:rPr>
        <w:t xml:space="preserve">, </w:t>
      </w:r>
      <w:r w:rsidRPr="00062138">
        <w:rPr>
          <w:rFonts w:ascii="Times New Roman" w:hAnsi="Times New Roman" w:cs="Times New Roman"/>
        </w:rPr>
        <w:t>Direcția surse de energie regenerabilă și mobilitate verde</w:t>
      </w:r>
      <w:r w:rsidR="00062138">
        <w:rPr>
          <w:rFonts w:ascii="Times New Roman" w:hAnsi="Times New Roman" w:cs="Times New Roman"/>
        </w:rPr>
        <w:t>;</w:t>
      </w:r>
    </w:p>
    <w:p w14:paraId="31963E0F" w14:textId="282010D3" w:rsidR="00724C7B" w:rsidRPr="00062138" w:rsidRDefault="00724C7B" w:rsidP="00062138">
      <w:pPr>
        <w:jc w:val="both"/>
        <w:rPr>
          <w:rFonts w:ascii="Times New Roman" w:hAnsi="Times New Roman" w:cs="Times New Roman"/>
        </w:rPr>
      </w:pPr>
      <w:r w:rsidRPr="00062138">
        <w:rPr>
          <w:rFonts w:ascii="Times New Roman" w:hAnsi="Times New Roman" w:cs="Times New Roman"/>
        </w:rPr>
        <w:t xml:space="preserve">Date de contact: </w:t>
      </w:r>
      <w:hyperlink r:id="rId5" w:history="1">
        <w:r w:rsidR="00C370F2" w:rsidRPr="00062138">
          <w:rPr>
            <w:rStyle w:val="Hyperlink"/>
            <w:rFonts w:ascii="Times New Roman" w:hAnsi="Times New Roman" w:cs="Times New Roman"/>
          </w:rPr>
          <w:t>vlad.vitu@energie.gov.md</w:t>
        </w:r>
      </w:hyperlink>
      <w:r w:rsidR="00C370F2" w:rsidRPr="00062138">
        <w:rPr>
          <w:rFonts w:ascii="Times New Roman" w:hAnsi="Times New Roman" w:cs="Times New Roman"/>
        </w:rPr>
        <w:t xml:space="preserve"> </w:t>
      </w:r>
    </w:p>
    <w:p w14:paraId="2C53001D" w14:textId="7A99D71B" w:rsidR="00724C7B" w:rsidRPr="00062138" w:rsidRDefault="00062138" w:rsidP="00CD2D6E">
      <w:pPr>
        <w:ind w:firstLine="720"/>
        <w:jc w:val="both"/>
        <w:rPr>
          <w:rFonts w:ascii="Times New Roman" w:hAnsi="Times New Roman" w:cs="Times New Roman"/>
          <w:b/>
          <w:bCs/>
          <w:i/>
          <w:iCs/>
        </w:rPr>
      </w:pPr>
      <w:r w:rsidRPr="00062138">
        <w:rPr>
          <w:rFonts w:ascii="Times New Roman" w:hAnsi="Times New Roman" w:cs="Times New Roman"/>
          <w:b/>
          <w:bCs/>
          <w:i/>
          <w:iCs/>
        </w:rPr>
        <w:t>2</w:t>
      </w:r>
      <w:r w:rsidR="00724C7B" w:rsidRPr="00062138">
        <w:rPr>
          <w:rFonts w:ascii="Times New Roman" w:hAnsi="Times New Roman" w:cs="Times New Roman"/>
          <w:b/>
          <w:bCs/>
          <w:i/>
          <w:iCs/>
        </w:rPr>
        <w:t xml:space="preserve">) </w:t>
      </w:r>
      <w:r w:rsidRPr="00062138">
        <w:rPr>
          <w:rFonts w:ascii="Times New Roman" w:hAnsi="Times New Roman" w:cs="Times New Roman"/>
          <w:b/>
          <w:bCs/>
          <w:i/>
          <w:iCs/>
        </w:rPr>
        <w:t>i</w:t>
      </w:r>
      <w:r w:rsidR="00724C7B" w:rsidRPr="00062138">
        <w:rPr>
          <w:rFonts w:ascii="Times New Roman" w:hAnsi="Times New Roman" w:cs="Times New Roman"/>
          <w:b/>
          <w:bCs/>
          <w:i/>
          <w:iCs/>
        </w:rPr>
        <w:t>nformații privind documentul de politic</w:t>
      </w:r>
      <w:r>
        <w:rPr>
          <w:rFonts w:ascii="Times New Roman" w:hAnsi="Times New Roman" w:cs="Times New Roman"/>
          <w:b/>
          <w:bCs/>
          <w:i/>
          <w:iCs/>
        </w:rPr>
        <w:t xml:space="preserve"> și planificare</w:t>
      </w:r>
      <w:r w:rsidR="00724C7B" w:rsidRPr="00062138">
        <w:rPr>
          <w:rFonts w:ascii="Times New Roman" w:hAnsi="Times New Roman" w:cs="Times New Roman"/>
          <w:b/>
          <w:bCs/>
          <w:i/>
          <w:iCs/>
        </w:rPr>
        <w:t>:</w:t>
      </w:r>
    </w:p>
    <w:p w14:paraId="604665D5" w14:textId="1AF4B411" w:rsidR="00724C7B" w:rsidRPr="004F19FF" w:rsidRDefault="00062138" w:rsidP="004F19FF">
      <w:pPr>
        <w:spacing w:after="0"/>
        <w:ind w:firstLine="709"/>
        <w:jc w:val="both"/>
        <w:rPr>
          <w:rFonts w:ascii="Times New Roman" w:hAnsi="Times New Roman" w:cs="Times New Roman"/>
          <w:u w:val="single"/>
        </w:rPr>
      </w:pPr>
      <w:r w:rsidRPr="004F19FF">
        <w:rPr>
          <w:rFonts w:ascii="Times New Roman" w:hAnsi="Times New Roman" w:cs="Times New Roman"/>
          <w:u w:val="single"/>
        </w:rPr>
        <w:t>a) d</w:t>
      </w:r>
      <w:r w:rsidR="00724C7B" w:rsidRPr="004F19FF">
        <w:rPr>
          <w:rFonts w:ascii="Times New Roman" w:hAnsi="Times New Roman" w:cs="Times New Roman"/>
          <w:u w:val="single"/>
        </w:rPr>
        <w:t>enumirea documentului</w:t>
      </w:r>
      <w:r w:rsidRPr="004F19FF">
        <w:rPr>
          <w:rFonts w:ascii="Times New Roman" w:hAnsi="Times New Roman" w:cs="Times New Roman"/>
          <w:u w:val="single"/>
        </w:rPr>
        <w:t xml:space="preserve"> de politici sau planificare</w:t>
      </w:r>
    </w:p>
    <w:p w14:paraId="07383633" w14:textId="47C74E0A" w:rsidR="00724C7B" w:rsidRPr="00724C7B" w:rsidRDefault="001265B0" w:rsidP="004F19FF">
      <w:pPr>
        <w:jc w:val="both"/>
        <w:rPr>
          <w:rFonts w:ascii="Times New Roman" w:hAnsi="Times New Roman" w:cs="Times New Roman"/>
        </w:rPr>
      </w:pPr>
      <w:r>
        <w:rPr>
          <w:rFonts w:ascii="Times New Roman" w:hAnsi="Times New Roman" w:cs="Times New Roman"/>
        </w:rPr>
        <w:t xml:space="preserve">Proiectul Hotărârii Guvernului cu privire la aprobarea </w:t>
      </w:r>
      <w:r w:rsidR="00724C7B" w:rsidRPr="00724C7B">
        <w:rPr>
          <w:rFonts w:ascii="Times New Roman" w:hAnsi="Times New Roman" w:cs="Times New Roman"/>
        </w:rPr>
        <w:t>Strategi</w:t>
      </w:r>
      <w:r>
        <w:rPr>
          <w:rFonts w:ascii="Times New Roman" w:hAnsi="Times New Roman" w:cs="Times New Roman"/>
        </w:rPr>
        <w:t>ei</w:t>
      </w:r>
      <w:r w:rsidR="00724C7B" w:rsidRPr="00724C7B">
        <w:rPr>
          <w:rFonts w:ascii="Times New Roman" w:hAnsi="Times New Roman" w:cs="Times New Roman"/>
        </w:rPr>
        <w:t xml:space="preserve"> energetic</w:t>
      </w:r>
      <w:r w:rsidR="004F19FF">
        <w:rPr>
          <w:rFonts w:ascii="Times New Roman" w:hAnsi="Times New Roman" w:cs="Times New Roman"/>
        </w:rPr>
        <w:t>e</w:t>
      </w:r>
      <w:r w:rsidR="00724C7B" w:rsidRPr="00724C7B">
        <w:rPr>
          <w:rFonts w:ascii="Times New Roman" w:hAnsi="Times New Roman" w:cs="Times New Roman"/>
        </w:rPr>
        <w:t xml:space="preserve"> a Republicii Moldova </w:t>
      </w:r>
      <w:r>
        <w:rPr>
          <w:rFonts w:ascii="Times New Roman" w:hAnsi="Times New Roman" w:cs="Times New Roman"/>
        </w:rPr>
        <w:t>pentru perioada 2025-2050</w:t>
      </w:r>
    </w:p>
    <w:p w14:paraId="2445DE31" w14:textId="562EC800" w:rsidR="001B011C" w:rsidRDefault="001B011C" w:rsidP="001B011C">
      <w:pPr>
        <w:pStyle w:val="ListParagraph"/>
        <w:spacing w:after="0"/>
        <w:ind w:left="709"/>
        <w:jc w:val="both"/>
        <w:rPr>
          <w:rFonts w:ascii="Times New Roman" w:hAnsi="Times New Roman" w:cs="Times New Roman"/>
        </w:rPr>
      </w:pPr>
      <w:r w:rsidRPr="0099182F">
        <w:rPr>
          <w:rFonts w:asciiTheme="majorBidi" w:hAnsiTheme="majorBidi" w:cstheme="majorBidi"/>
          <w:bCs/>
          <w:u w:val="single"/>
          <w:lang w:val="ro-MD" w:eastAsia="uk-UA"/>
        </w:rPr>
        <w:t>b) fundamentarea necesității de elaborare a documentului de politici sau planificare</w:t>
      </w:r>
    </w:p>
    <w:p w14:paraId="507921C4" w14:textId="38684F75" w:rsidR="004832D3" w:rsidRPr="004832D3" w:rsidRDefault="004832D3" w:rsidP="004832D3">
      <w:pPr>
        <w:pStyle w:val="ListParagraph"/>
        <w:spacing w:after="0"/>
        <w:ind w:left="0"/>
        <w:jc w:val="both"/>
        <w:rPr>
          <w:rFonts w:ascii="Times New Roman" w:hAnsi="Times New Roman" w:cs="Times New Roman"/>
        </w:rPr>
      </w:pPr>
      <w:r w:rsidRPr="004832D3">
        <w:rPr>
          <w:rFonts w:ascii="Times New Roman" w:hAnsi="Times New Roman" w:cs="Times New Roman"/>
        </w:rPr>
        <w:t xml:space="preserve">Prin Contribuția Națională Determinată actualizată 2.0 (CND 2.0) din 2025, </w:t>
      </w:r>
      <w:r w:rsidR="001B011C">
        <w:rPr>
          <w:rFonts w:ascii="Times New Roman" w:hAnsi="Times New Roman" w:cs="Times New Roman"/>
        </w:rPr>
        <w:t xml:space="preserve">Republica Moldova </w:t>
      </w:r>
      <w:r w:rsidRPr="004832D3">
        <w:rPr>
          <w:rFonts w:ascii="Times New Roman" w:hAnsi="Times New Roman" w:cs="Times New Roman"/>
        </w:rPr>
        <w:t xml:space="preserve"> s-a angajat să reducă emisiile de gaze cu efect de seră cu 70% față de nivelul din 1990 până în 2030. Sectorul energetic reprezintă cea mai mare parte a acestor emisii — aproape 70%. În 2024, reducerea emisiilor față de 1990 a fost de 64,5%. Acest lucru arată necesitatea ca toate entitățile din sectorul energetic să prioritizeze măsuri durabile de reducere a emisiilor.</w:t>
      </w:r>
    </w:p>
    <w:p w14:paraId="521142DB" w14:textId="77777777" w:rsidR="004832D3" w:rsidRPr="004832D3" w:rsidRDefault="004832D3" w:rsidP="004832D3">
      <w:pPr>
        <w:pStyle w:val="ListParagraph"/>
        <w:spacing w:after="0"/>
        <w:ind w:left="0"/>
        <w:jc w:val="both"/>
        <w:rPr>
          <w:rFonts w:ascii="Times New Roman" w:hAnsi="Times New Roman" w:cs="Times New Roman"/>
        </w:rPr>
      </w:pPr>
      <w:r w:rsidRPr="004832D3">
        <w:rPr>
          <w:rFonts w:ascii="Times New Roman" w:hAnsi="Times New Roman" w:cs="Times New Roman"/>
        </w:rPr>
        <w:t>Pentru a avea un sector energetic competitiv și durabil, integrat în piețele și infrastructura energetică europeană și care să asigure securitate energetică consumatorilor, Republica Moldova trebuie să continue și să accelereze dezvoltarea acestui sector. Politicile și obiectivele naționale sunt aliniate la acordurile internaționale și la documentele de politici europene, cum ar fi Acordul de la Paris, Agenda ONU 2030 pentru Dezvoltare Durabilă, politica energetică a Uniunii Europene (Pachetul privind energia curată, Pactul verde european, Fit for 55, REPowerEU), precum și la angajamentele din Tratatul de constituire a Comunității Energetice și procesul de aderare la UE, conform Deciziei Consiliului Ministerial al Comunității Energetice nr. 2022/02/MC-EnC.</w:t>
      </w:r>
    </w:p>
    <w:p w14:paraId="7B3E9F8D" w14:textId="77777777" w:rsidR="004832D3" w:rsidRPr="004832D3" w:rsidRDefault="004832D3" w:rsidP="004832D3">
      <w:pPr>
        <w:pStyle w:val="ListParagraph"/>
        <w:spacing w:after="0"/>
        <w:ind w:left="0"/>
        <w:jc w:val="both"/>
        <w:rPr>
          <w:rFonts w:ascii="Times New Roman" w:hAnsi="Times New Roman" w:cs="Times New Roman"/>
        </w:rPr>
      </w:pPr>
      <w:r w:rsidRPr="004832D3">
        <w:rPr>
          <w:rFonts w:ascii="Times New Roman" w:hAnsi="Times New Roman" w:cs="Times New Roman"/>
        </w:rPr>
        <w:t>În comparație cu situația din 2013, condițiile de bază s-au schimbat semnificativ. Sincronizarea sistemului electroenergetic cu ENTSO-E, diversificarea rutelor și surselor de gaze naturale și deschiderea negocierilor de aderare la UE au creat un context complet diferit. Republica Moldova devine tot mai integrată economic cu statele membre ale UE, iar obiectivele politice și economice trebuie să fie tot mai aliniate cu cele ale Uniunii Europene. Provocarea pe termen lung este accelerarea tranziției energetice în paralel cu procesul de aderare la UE.</w:t>
      </w:r>
    </w:p>
    <w:p w14:paraId="2C7BD5D1" w14:textId="77777777" w:rsidR="004832D3" w:rsidRPr="004832D3" w:rsidRDefault="004832D3" w:rsidP="004832D3">
      <w:pPr>
        <w:pStyle w:val="ListParagraph"/>
        <w:spacing w:after="0"/>
        <w:ind w:left="0"/>
        <w:jc w:val="both"/>
        <w:rPr>
          <w:rFonts w:ascii="Times New Roman" w:hAnsi="Times New Roman" w:cs="Times New Roman"/>
        </w:rPr>
      </w:pPr>
      <w:r w:rsidRPr="004832D3">
        <w:rPr>
          <w:rFonts w:ascii="Times New Roman" w:hAnsi="Times New Roman" w:cs="Times New Roman"/>
        </w:rPr>
        <w:lastRenderedPageBreak/>
        <w:t>Ambiția Europei de a deveni primul continent neutru din punct de vedere climatic până în 2050 va influența și dezvoltarea sectorului energetic și economia națională, mai ales având în vedere obiectivul constituțional de aderare la Uniunea Europeană.</w:t>
      </w:r>
    </w:p>
    <w:p w14:paraId="25C6747D" w14:textId="1E21BD98" w:rsidR="004832D3" w:rsidRPr="004832D3" w:rsidRDefault="004832D3" w:rsidP="004832D3">
      <w:pPr>
        <w:pStyle w:val="ListParagraph"/>
        <w:spacing w:after="0"/>
        <w:ind w:left="0"/>
        <w:jc w:val="both"/>
        <w:rPr>
          <w:rFonts w:ascii="Times New Roman" w:hAnsi="Times New Roman" w:cs="Times New Roman"/>
        </w:rPr>
      </w:pPr>
      <w:r w:rsidRPr="004832D3">
        <w:rPr>
          <w:rFonts w:ascii="Times New Roman" w:hAnsi="Times New Roman" w:cs="Times New Roman"/>
        </w:rPr>
        <w:t xml:space="preserve">Un sector energetic competitiv și durabil poate contribui la decuplarea creșterii economice de creșterea emisiilor de gaze cu efect de seră, sprijinind economia circulară și durabilă, accelerarea tranziției energetice și adaptarea la schimbările climatice. Strategia </w:t>
      </w:r>
      <w:r>
        <w:rPr>
          <w:rFonts w:ascii="Times New Roman" w:hAnsi="Times New Roman" w:cs="Times New Roman"/>
        </w:rPr>
        <w:t xml:space="preserve">va </w:t>
      </w:r>
      <w:r w:rsidRPr="004832D3">
        <w:rPr>
          <w:rFonts w:ascii="Times New Roman" w:hAnsi="Times New Roman" w:cs="Times New Roman"/>
        </w:rPr>
        <w:t>ofer</w:t>
      </w:r>
      <w:r>
        <w:rPr>
          <w:rFonts w:ascii="Times New Roman" w:hAnsi="Times New Roman" w:cs="Times New Roman"/>
        </w:rPr>
        <w:t>i</w:t>
      </w:r>
      <w:r w:rsidRPr="004832D3">
        <w:rPr>
          <w:rFonts w:ascii="Times New Roman" w:hAnsi="Times New Roman" w:cs="Times New Roman"/>
        </w:rPr>
        <w:t xml:space="preserve"> viziunea strategică necesară pentru creșterea securității energetice, decarbonizarea sectorului și atingerea neutralității climatice a țării.</w:t>
      </w:r>
    </w:p>
    <w:p w14:paraId="496FB6C7" w14:textId="081FC6BE" w:rsidR="004832D3" w:rsidRPr="004832D3" w:rsidRDefault="004832D3" w:rsidP="004832D3">
      <w:pPr>
        <w:pStyle w:val="ListParagraph"/>
        <w:spacing w:after="0"/>
        <w:ind w:left="0"/>
        <w:jc w:val="both"/>
        <w:rPr>
          <w:rFonts w:ascii="Times New Roman" w:hAnsi="Times New Roman" w:cs="Times New Roman"/>
        </w:rPr>
      </w:pPr>
      <w:r w:rsidRPr="004832D3">
        <w:rPr>
          <w:rFonts w:ascii="Times New Roman" w:hAnsi="Times New Roman" w:cs="Times New Roman"/>
        </w:rPr>
        <w:t xml:space="preserve">Strategia </w:t>
      </w:r>
      <w:r>
        <w:rPr>
          <w:rFonts w:ascii="Times New Roman" w:hAnsi="Times New Roman" w:cs="Times New Roman"/>
        </w:rPr>
        <w:t xml:space="preserve">va </w:t>
      </w:r>
      <w:r w:rsidRPr="004832D3">
        <w:rPr>
          <w:rFonts w:ascii="Times New Roman" w:hAnsi="Times New Roman" w:cs="Times New Roman"/>
        </w:rPr>
        <w:t>stabil</w:t>
      </w:r>
      <w:r>
        <w:rPr>
          <w:rFonts w:ascii="Times New Roman" w:hAnsi="Times New Roman" w:cs="Times New Roman"/>
        </w:rPr>
        <w:t>i</w:t>
      </w:r>
      <w:r w:rsidRPr="004832D3">
        <w:rPr>
          <w:rFonts w:ascii="Times New Roman" w:hAnsi="Times New Roman" w:cs="Times New Roman"/>
        </w:rPr>
        <w:t xml:space="preserve"> obiective generale și direcții prioritare pentru dezvoltarea sectorului energetic până în 2050, precum și acțiunile și măsurile necesare pentru a crea beneficii concrete pentru sector, consumatori și economia națională. Aceasta </w:t>
      </w:r>
      <w:r>
        <w:rPr>
          <w:rFonts w:ascii="Times New Roman" w:hAnsi="Times New Roman" w:cs="Times New Roman"/>
        </w:rPr>
        <w:t>garantează</w:t>
      </w:r>
      <w:r w:rsidRPr="004832D3">
        <w:rPr>
          <w:rFonts w:ascii="Times New Roman" w:hAnsi="Times New Roman" w:cs="Times New Roman"/>
        </w:rPr>
        <w:t xml:space="preserve"> un cadru stabil pentru promovarea investițiilor private și dezvoltarea economică, sprijinind atât entitățile existente, cât și atragerea de noi actori în sectorul energetic.</w:t>
      </w:r>
    </w:p>
    <w:p w14:paraId="5DC3C230" w14:textId="5ABB3637" w:rsidR="004832D3" w:rsidRPr="004832D3" w:rsidRDefault="004832D3" w:rsidP="004832D3">
      <w:pPr>
        <w:pStyle w:val="ListParagraph"/>
        <w:spacing w:after="0"/>
        <w:ind w:left="0"/>
        <w:jc w:val="both"/>
        <w:rPr>
          <w:rFonts w:ascii="Times New Roman" w:hAnsi="Times New Roman" w:cs="Times New Roman"/>
        </w:rPr>
      </w:pPr>
      <w:r w:rsidRPr="004832D3">
        <w:rPr>
          <w:rFonts w:ascii="Times New Roman" w:hAnsi="Times New Roman" w:cs="Times New Roman"/>
        </w:rPr>
        <w:t xml:space="preserve">Documentul </w:t>
      </w:r>
      <w:r>
        <w:rPr>
          <w:rFonts w:ascii="Times New Roman" w:hAnsi="Times New Roman" w:cs="Times New Roman"/>
        </w:rPr>
        <w:t>se</w:t>
      </w:r>
      <w:r w:rsidRPr="004832D3">
        <w:rPr>
          <w:rFonts w:ascii="Times New Roman" w:hAnsi="Times New Roman" w:cs="Times New Roman"/>
        </w:rPr>
        <w:t xml:space="preserve"> elabor</w:t>
      </w:r>
      <w:r>
        <w:rPr>
          <w:rFonts w:ascii="Times New Roman" w:hAnsi="Times New Roman" w:cs="Times New Roman"/>
        </w:rPr>
        <w:t>ează</w:t>
      </w:r>
      <w:r w:rsidRPr="004832D3">
        <w:rPr>
          <w:rFonts w:ascii="Times New Roman" w:hAnsi="Times New Roman" w:cs="Times New Roman"/>
        </w:rPr>
        <w:t xml:space="preserve"> pe baza unei analize detaliate a stării actuale a sectorului energetic, ținând cont de Strategia Națională de Dezvoltare „Moldova Europeană 2030” și Programul de activitate al Guvernului „Moldova prosperă, sigură, europeană”. Strategia se aliniază la planurile și programele sectoriale relevante, inclusiv PNIEC 2025-2030, Programul de dezvoltare cu emisii reduse, Programul de adaptare la schimbările climatice, Strategia securității naționale, Strategia de mobilitate 2030, Strategia Națională de Dezvoltare Regională 2022–2028 și Programul național de aderare la UE pentru 2025-2029.</w:t>
      </w:r>
    </w:p>
    <w:p w14:paraId="39FD99BC" w14:textId="2F56B59E" w:rsidR="004832D3" w:rsidRPr="004832D3" w:rsidRDefault="004832D3" w:rsidP="004832D3">
      <w:pPr>
        <w:pStyle w:val="ListParagraph"/>
        <w:spacing w:after="0"/>
        <w:ind w:left="0"/>
        <w:jc w:val="both"/>
        <w:rPr>
          <w:rFonts w:ascii="Times New Roman" w:hAnsi="Times New Roman" w:cs="Times New Roman"/>
        </w:rPr>
      </w:pPr>
      <w:r w:rsidRPr="004832D3">
        <w:rPr>
          <w:rFonts w:ascii="Times New Roman" w:hAnsi="Times New Roman" w:cs="Times New Roman"/>
        </w:rPr>
        <w:t xml:space="preserve">Strategia </w:t>
      </w:r>
      <w:r>
        <w:rPr>
          <w:rFonts w:ascii="Times New Roman" w:hAnsi="Times New Roman" w:cs="Times New Roman"/>
        </w:rPr>
        <w:t>va lua</w:t>
      </w:r>
      <w:r w:rsidRPr="004832D3">
        <w:rPr>
          <w:rFonts w:ascii="Times New Roman" w:hAnsi="Times New Roman" w:cs="Times New Roman"/>
        </w:rPr>
        <w:t xml:space="preserve"> în considerare previziunile pe termen lung privind dezvoltarea economică și necesitatea atragerii investițiilor, evidențiind problemele prioritare din sectorul energetic și de mediu pentru a menține un echilibru optim între cerere, ofertă și impactul asupra mediului. Obiectivele sunt definite ținând cont de tendințele de dezvoltare și de strategiile UE, Comunității Energetice și ale țărilor vecine (România și Ucraina).</w:t>
      </w:r>
    </w:p>
    <w:p w14:paraId="50FF8328" w14:textId="115B06AD" w:rsidR="004832D3" w:rsidRPr="004832D3" w:rsidRDefault="004832D3" w:rsidP="004832D3">
      <w:pPr>
        <w:pStyle w:val="ListParagraph"/>
        <w:spacing w:after="0"/>
        <w:ind w:left="0"/>
        <w:jc w:val="both"/>
        <w:rPr>
          <w:rFonts w:ascii="Times New Roman" w:hAnsi="Times New Roman" w:cs="Times New Roman"/>
        </w:rPr>
      </w:pPr>
      <w:r w:rsidRPr="004832D3">
        <w:rPr>
          <w:rFonts w:ascii="Times New Roman" w:hAnsi="Times New Roman" w:cs="Times New Roman"/>
        </w:rPr>
        <w:t xml:space="preserve">Măsurile propuse se bazează pe exerciții de modelare a evoluției sectorului energetic și pe consultările cu părțile interesate, autoritățile publice și autonome, întreprinderile energetice, asociațiile de afaceri, camerele de comerț și consumatorii finali. De asemenea, </w:t>
      </w:r>
      <w:r>
        <w:rPr>
          <w:rFonts w:ascii="Times New Roman" w:hAnsi="Times New Roman" w:cs="Times New Roman"/>
        </w:rPr>
        <w:t>sunt</w:t>
      </w:r>
      <w:r w:rsidRPr="004832D3">
        <w:rPr>
          <w:rFonts w:ascii="Times New Roman" w:hAnsi="Times New Roman" w:cs="Times New Roman"/>
        </w:rPr>
        <w:t xml:space="preserve"> utilizate date recente de la Eurostat, Direcția Generală Energie a Comisiei Europene, Biroul Național de Statistică, ANRE și alte surse oficiale.</w:t>
      </w:r>
    </w:p>
    <w:p w14:paraId="755788C5" w14:textId="1016A9DF" w:rsidR="004832D3" w:rsidRDefault="004832D3" w:rsidP="004832D3">
      <w:pPr>
        <w:pStyle w:val="ListParagraph"/>
        <w:spacing w:after="0"/>
        <w:ind w:left="0"/>
        <w:jc w:val="both"/>
        <w:rPr>
          <w:rFonts w:ascii="Times New Roman" w:hAnsi="Times New Roman" w:cs="Times New Roman"/>
        </w:rPr>
      </w:pPr>
      <w:r w:rsidRPr="004832D3">
        <w:rPr>
          <w:rFonts w:ascii="Times New Roman" w:hAnsi="Times New Roman" w:cs="Times New Roman"/>
        </w:rPr>
        <w:t xml:space="preserve">Toate aceste elemente </w:t>
      </w:r>
      <w:r>
        <w:rPr>
          <w:rFonts w:ascii="Times New Roman" w:hAnsi="Times New Roman" w:cs="Times New Roman"/>
        </w:rPr>
        <w:t>se</w:t>
      </w:r>
      <w:r w:rsidRPr="004832D3">
        <w:rPr>
          <w:rFonts w:ascii="Times New Roman" w:hAnsi="Times New Roman" w:cs="Times New Roman"/>
        </w:rPr>
        <w:t xml:space="preserve"> integr</w:t>
      </w:r>
      <w:r>
        <w:rPr>
          <w:rFonts w:ascii="Times New Roman" w:hAnsi="Times New Roman" w:cs="Times New Roman"/>
        </w:rPr>
        <w:t>ează</w:t>
      </w:r>
      <w:r w:rsidRPr="004832D3">
        <w:rPr>
          <w:rFonts w:ascii="Times New Roman" w:hAnsi="Times New Roman" w:cs="Times New Roman"/>
        </w:rPr>
        <w:t xml:space="preserve"> pentru a defini obiectivele generale și direcțiile prioritare, precum și pentru a institui un sistem de monitorizare a implementării Strategiei.</w:t>
      </w:r>
    </w:p>
    <w:p w14:paraId="2D8E9C01" w14:textId="4D90E363" w:rsidR="00CC71B3" w:rsidRPr="004832D3" w:rsidRDefault="008D23FF" w:rsidP="001B011C">
      <w:pPr>
        <w:pStyle w:val="ListParagraph"/>
        <w:ind w:left="0"/>
        <w:jc w:val="both"/>
        <w:rPr>
          <w:rFonts w:ascii="Times New Roman" w:hAnsi="Times New Roman" w:cs="Times New Roman"/>
        </w:rPr>
      </w:pPr>
      <w:r>
        <w:rPr>
          <w:rFonts w:ascii="Times New Roman" w:hAnsi="Times New Roman" w:cs="Times New Roman"/>
        </w:rPr>
        <w:t>Implementarea Strategiei ar putea fi urmată de anumite riscuri de afectare a mediului. Printre cele mai mult posibile ar putea fi: i</w:t>
      </w:r>
      <w:r w:rsidRPr="008D23FF">
        <w:t>nstal</w:t>
      </w:r>
      <w:r>
        <w:t>area</w:t>
      </w:r>
      <w:r w:rsidRPr="008D23FF">
        <w:t xml:space="preserve"> echipamentelor pe terenuri degradate sau deja utilizate</w:t>
      </w:r>
      <w:r>
        <w:t xml:space="preserve"> și </w:t>
      </w:r>
      <w:r w:rsidRPr="008D23FF">
        <w:rPr>
          <w:rFonts w:ascii="Times New Roman" w:hAnsi="Times New Roman" w:cs="Times New Roman"/>
        </w:rPr>
        <w:t>stocarea deșeurilor rezultate din exploatarea surselor regenerabile de energie (componente ale turbinelor eoliene, celule fotovoltaice, baterii electrice, materiale compozite etc.).</w:t>
      </w:r>
      <w:r w:rsidR="00CC71B3">
        <w:rPr>
          <w:rFonts w:ascii="Times New Roman" w:hAnsi="Times New Roman" w:cs="Times New Roman"/>
        </w:rPr>
        <w:t xml:space="preserve"> </w:t>
      </w:r>
      <w:r w:rsidR="00CC71B3" w:rsidRPr="004832D3">
        <w:rPr>
          <w:rFonts w:ascii="Times New Roman" w:hAnsi="Times New Roman" w:cs="Times New Roman"/>
        </w:rPr>
        <w:t xml:space="preserve">Strategia energetică a Republicii Moldova pentru perioada 2025-2050 </w:t>
      </w:r>
      <w:r w:rsidR="00CC71B3">
        <w:rPr>
          <w:rFonts w:ascii="Times New Roman" w:hAnsi="Times New Roman" w:cs="Times New Roman"/>
        </w:rPr>
        <w:t>se va elabora</w:t>
      </w:r>
      <w:r w:rsidR="00CC71B3" w:rsidRPr="004832D3">
        <w:rPr>
          <w:rFonts w:ascii="Times New Roman" w:hAnsi="Times New Roman" w:cs="Times New Roman"/>
        </w:rPr>
        <w:t xml:space="preserve"> ca parte a cadrului național de planificare strategică, având ca scop susținerea modernizării economice și sociale a țării. Aceasta ține cont de obiectivele strategice și de creștere economică ale Guvernului </w:t>
      </w:r>
      <w:r w:rsidR="00CC71B3" w:rsidRPr="004832D3">
        <w:rPr>
          <w:rFonts w:ascii="Times New Roman" w:hAnsi="Times New Roman" w:cs="Times New Roman"/>
        </w:rPr>
        <w:lastRenderedPageBreak/>
        <w:t>Republicii Moldova, precum și de angajamentele internaționale ale țării, reflectate prin obiective, indicatori și ținte specifice.</w:t>
      </w:r>
    </w:p>
    <w:p w14:paraId="1B6BB9D7" w14:textId="77777777" w:rsidR="00320413" w:rsidRPr="00320413" w:rsidRDefault="00320413" w:rsidP="000C63C7">
      <w:pPr>
        <w:spacing w:after="0"/>
        <w:ind w:firstLine="709"/>
        <w:jc w:val="both"/>
        <w:rPr>
          <w:rFonts w:ascii="Times New Roman" w:hAnsi="Times New Roman" w:cs="Times New Roman"/>
          <w:u w:val="single"/>
        </w:rPr>
      </w:pPr>
      <w:r w:rsidRPr="00320413">
        <w:rPr>
          <w:rFonts w:ascii="Times New Roman" w:hAnsi="Times New Roman" w:cs="Times New Roman"/>
          <w:u w:val="single"/>
        </w:rPr>
        <w:t>c) p</w:t>
      </w:r>
      <w:r w:rsidR="00724C7B" w:rsidRPr="00320413">
        <w:rPr>
          <w:rFonts w:ascii="Times New Roman" w:hAnsi="Times New Roman" w:cs="Times New Roman"/>
          <w:u w:val="single"/>
        </w:rPr>
        <w:t>rincipalele aspecte de protecție a mediului</w:t>
      </w:r>
      <w:r w:rsidRPr="00320413">
        <w:rPr>
          <w:rFonts w:ascii="Times New Roman" w:hAnsi="Times New Roman" w:cs="Times New Roman"/>
          <w:u w:val="single"/>
        </w:rPr>
        <w:t>,</w:t>
      </w:r>
      <w:r w:rsidR="00724C7B" w:rsidRPr="00320413">
        <w:rPr>
          <w:rFonts w:ascii="Times New Roman" w:hAnsi="Times New Roman" w:cs="Times New Roman"/>
          <w:u w:val="single"/>
        </w:rPr>
        <w:t xml:space="preserve"> incluse</w:t>
      </w:r>
      <w:r w:rsidRPr="00320413">
        <w:rPr>
          <w:rFonts w:ascii="Times New Roman" w:hAnsi="Times New Roman" w:cs="Times New Roman"/>
          <w:u w:val="single"/>
        </w:rPr>
        <w:t xml:space="preserve"> în proiectul documentului de politici sau planificare</w:t>
      </w:r>
    </w:p>
    <w:p w14:paraId="6BCC12AC" w14:textId="4C92163B" w:rsidR="00724C7B" w:rsidRDefault="00724C7B" w:rsidP="00320413">
      <w:pPr>
        <w:spacing w:after="0"/>
        <w:jc w:val="both"/>
        <w:rPr>
          <w:rFonts w:ascii="Times New Roman" w:hAnsi="Times New Roman" w:cs="Times New Roman"/>
        </w:rPr>
      </w:pPr>
      <w:r w:rsidRPr="00724C7B">
        <w:rPr>
          <w:rFonts w:ascii="Times New Roman" w:hAnsi="Times New Roman" w:cs="Times New Roman"/>
        </w:rPr>
        <w:t>Strategia propune măsuri de decarbonizare a sectorului energetic, creșterea ponderii surselor regenerabile, electrificarea transportului, creșterea eficienței energetice, reducerea consumului de combustibili fosili, dezvoltarea hidrogenului cu emisii reduse și promovarea stocării de energie. De asemenea, se promovează sisteme energetice reziliente și sustenabile, în concordanță cu obiectivele climatice.</w:t>
      </w:r>
    </w:p>
    <w:p w14:paraId="17C8400C" w14:textId="060DCBC2" w:rsidR="002D54F5" w:rsidRDefault="002D54F5" w:rsidP="001B011C">
      <w:pPr>
        <w:spacing w:after="0"/>
        <w:jc w:val="both"/>
        <w:rPr>
          <w:rFonts w:ascii="Times New Roman" w:hAnsi="Times New Roman" w:cs="Times New Roman"/>
        </w:rPr>
      </w:pPr>
      <w:r w:rsidRPr="00534A32">
        <w:rPr>
          <w:rFonts w:ascii="Times New Roman" w:hAnsi="Times New Roman" w:cs="Times New Roman"/>
        </w:rPr>
        <w:t>Proiectul Strategiei prevede valorificarea potențialului energetic al deșeurilor de mai multe tipuri, cum ar fi: deșeurile solide prin incinerare; biodegradabile din agricultură și zootehnie; industriale; din demolări în construcții; alimentare; cele periculoase valorificabile și nămolurile de epurare. Conform studiului realuizat cu suportul BERD „Moldova Solid Waste”, în municipiile Chișinău și Bălți există posibilități de a construi obiecte energetice cu o putere instalată de 43 MWe și 11 MWe, respectiv. Condiția primoridală pentru realizarea acestor măsuri constă în organizarea unui management performant în sectorul dețeurilor, cu instalarea unor echipamente moderne caracterizate de un grad extrem de scăzut de polure a mediului. Astfel, valorificarea materiei prime de acest gen ar contribui la reducerea emisiilor poluante. În cadrul acestor proiecte, până la finele anului 2030 este preconizată obținerea puterii instalate de 20 MW, urmând dezvoltarea până la 50 MW către 2050. În valoare procentuală proiectul Strategiei prevede reducerea consumului de gaze naturale pentru funcționarea întreprinderilor din cadrul S.A. „Termoelectrica” din mun. Chișinău cu 55% crescând utilizarea dețeurilor municipale de 9 ori, în același mod și la S.A. „CET-Nord” din mun. Bălți către 2050 se planifică o reducere de consum a gazelor naturale cu 44%, atingând valoarea de 500% privind utilizarea deșeurilor din biomasă.</w:t>
      </w:r>
      <w:r>
        <w:rPr>
          <w:rFonts w:ascii="Times New Roman" w:hAnsi="Times New Roman" w:cs="Times New Roman"/>
        </w:rPr>
        <w:t xml:space="preserve"> Activitățile se încadrează și în raport cu prevederile Hotărârii Guvernului nr. 972/2023 cu privire la aprobarea Programului național pentru gestionarea dețeurilor pe anii 2023-2027. Potrivit acestui act normativ, deșeurile, în deosebi, de origine animală sunt foarte nocive pentru mediu, dar, totodată, ele au un potențial ce merită a fi considerat în contextul valorificării în scopuri de producere a energiei. Astfel, Planul de acțiuni privind implementarea Programului aprobat prin Hotărârea Guvernului nr. 972/2023 prevede un șir de măsuri pentru implementarea managementului deșeurilor, sub aspecte legale, economice și sociale.</w:t>
      </w:r>
    </w:p>
    <w:p w14:paraId="157EB039" w14:textId="0EB2FD11" w:rsidR="002D54F5" w:rsidRDefault="002D54F5" w:rsidP="001B011C">
      <w:pPr>
        <w:jc w:val="both"/>
        <w:rPr>
          <w:rFonts w:ascii="Times New Roman" w:hAnsi="Times New Roman" w:cs="Times New Roman"/>
        </w:rPr>
      </w:pPr>
      <w:r>
        <w:rPr>
          <w:rFonts w:ascii="Times New Roman" w:hAnsi="Times New Roman" w:cs="Times New Roman"/>
        </w:rPr>
        <w:t xml:space="preserve">În contextul exprimării din partea reprezentanților Republicii Moldova la Conferința Părților COP 28 privind Schimbările Climatice din Dubai în 2024, de conexiune la angajamentul global de a tripla capacitatea nucleară de producere a energiei nucleare către 2050, </w:t>
      </w:r>
      <w:r w:rsidR="00FB40F4">
        <w:rPr>
          <w:rFonts w:ascii="Times New Roman" w:hAnsi="Times New Roman" w:cs="Times New Roman"/>
        </w:rPr>
        <w:t>proiectul Strategiei admite posibilitatea examinării construcției unor centrale nucleare modulare de mică capacitate (SMR). Posibilitatea de dezvoltare a unor asemenea gen de proiecte vor fi analizate din punct de vedere, primordial, al amenințărilor de securitate a funcționării, cât și la capitolul riscurilor pentru poluarea mediului.</w:t>
      </w:r>
    </w:p>
    <w:p w14:paraId="0EDE4755" w14:textId="3C5F0EA5" w:rsidR="00C370F2" w:rsidRPr="00320413" w:rsidRDefault="00320413" w:rsidP="00C370F2">
      <w:pPr>
        <w:ind w:left="709"/>
        <w:rPr>
          <w:rFonts w:ascii="Times New Roman" w:hAnsi="Times New Roman" w:cs="Times New Roman"/>
          <w:u w:val="single"/>
          <w:lang w:val="ro-MD"/>
        </w:rPr>
      </w:pPr>
      <w:r w:rsidRPr="00320413">
        <w:rPr>
          <w:rFonts w:ascii="Times New Roman" w:hAnsi="Times New Roman" w:cs="Times New Roman"/>
          <w:u w:val="single"/>
          <w:lang w:val="ro-MD"/>
        </w:rPr>
        <w:t>d) p</w:t>
      </w:r>
      <w:r w:rsidR="00C370F2" w:rsidRPr="00320413">
        <w:rPr>
          <w:rFonts w:ascii="Times New Roman" w:hAnsi="Times New Roman" w:cs="Times New Roman"/>
          <w:u w:val="single"/>
          <w:lang w:val="ro-MD"/>
        </w:rPr>
        <w:t>rincipalele direcţii şi termenul de implementare</w:t>
      </w:r>
    </w:p>
    <w:p w14:paraId="7B49548A" w14:textId="0AAD3B23" w:rsidR="001B011C" w:rsidRDefault="001B011C" w:rsidP="000C63C7">
      <w:pPr>
        <w:spacing w:after="0"/>
        <w:jc w:val="both"/>
        <w:rPr>
          <w:rFonts w:ascii="Times New Roman" w:hAnsi="Times New Roman" w:cs="Times New Roman"/>
        </w:rPr>
      </w:pPr>
      <w:r w:rsidRPr="004832D3">
        <w:rPr>
          <w:rFonts w:ascii="Times New Roman" w:hAnsi="Times New Roman" w:cs="Times New Roman"/>
        </w:rPr>
        <w:lastRenderedPageBreak/>
        <w:t>Experiența ultimilor ani arată că dezvoltarea durabilă a economiei este strâns legată de reducerea impactului schimbărilor climatice. Guvernul Republicii Moldova a subliniat acest lucru în Strategia Națională de Dezvoltare „Moldova Europeană 2030” și a stabilit mai multe obiective aliniate la Acordul de la Paris.</w:t>
      </w:r>
    </w:p>
    <w:p w14:paraId="0EF531D2" w14:textId="2F661BE8" w:rsidR="00724C7B" w:rsidRPr="00724C7B" w:rsidRDefault="00724C7B" w:rsidP="000C63C7">
      <w:pPr>
        <w:jc w:val="both"/>
        <w:rPr>
          <w:rFonts w:ascii="Times New Roman" w:hAnsi="Times New Roman" w:cs="Times New Roman"/>
        </w:rPr>
      </w:pPr>
      <w:r w:rsidRPr="00724C7B">
        <w:rPr>
          <w:rFonts w:ascii="Times New Roman" w:hAnsi="Times New Roman" w:cs="Times New Roman"/>
        </w:rPr>
        <w:t>Strategia este structurată în jurul a șapte obiective strategice majore și are un orizont de implementare până în anul 2050, cu etape intermediare pentru 2030 și 2040.</w:t>
      </w:r>
    </w:p>
    <w:p w14:paraId="047C5430" w14:textId="5EB4D8A6" w:rsidR="00320413" w:rsidRDefault="00320413" w:rsidP="000C63C7">
      <w:pPr>
        <w:spacing w:after="0"/>
        <w:ind w:firstLine="709"/>
        <w:jc w:val="both"/>
        <w:rPr>
          <w:rFonts w:ascii="Times New Roman" w:hAnsi="Times New Roman" w:cs="Times New Roman"/>
          <w:u w:val="single"/>
        </w:rPr>
      </w:pPr>
      <w:r w:rsidRPr="00320413">
        <w:rPr>
          <w:rFonts w:ascii="Times New Roman" w:hAnsi="Times New Roman" w:cs="Times New Roman"/>
          <w:u w:val="single"/>
        </w:rPr>
        <w:t>e) existența unui cadru pentru activitățile enumerate în anexele nr. 1 și 2 la Legea nr. 86/2014 privind evaluarea impactului asupra mediului și pentru care este necesară autorizația</w:t>
      </w:r>
    </w:p>
    <w:p w14:paraId="6EB7BEEA" w14:textId="77777777" w:rsidR="004B220A" w:rsidRDefault="004B220A" w:rsidP="000C63C7">
      <w:pPr>
        <w:spacing w:after="0"/>
        <w:ind w:firstLine="709"/>
        <w:jc w:val="both"/>
        <w:rPr>
          <w:rFonts w:ascii="Times New Roman" w:hAnsi="Times New Roman" w:cs="Times New Roman"/>
        </w:rPr>
      </w:pPr>
      <w:r w:rsidRPr="00724C7B">
        <w:rPr>
          <w:rFonts w:ascii="Times New Roman" w:hAnsi="Times New Roman" w:cs="Times New Roman"/>
        </w:rPr>
        <w:t xml:space="preserve">Documentul </w:t>
      </w:r>
      <w:r>
        <w:rPr>
          <w:rFonts w:ascii="Times New Roman" w:hAnsi="Times New Roman" w:cs="Times New Roman"/>
        </w:rPr>
        <w:t>va fi</w:t>
      </w:r>
      <w:r w:rsidRPr="00724C7B">
        <w:rPr>
          <w:rFonts w:ascii="Times New Roman" w:hAnsi="Times New Roman" w:cs="Times New Roman"/>
        </w:rPr>
        <w:t xml:space="preserve"> elaborat în temeiul Hotărârii Guvernului nr. 386/2020 </w:t>
      </w:r>
      <w:r>
        <w:rPr>
          <w:rFonts w:ascii="Times New Roman" w:hAnsi="Times New Roman" w:cs="Times New Roman"/>
        </w:rPr>
        <w:t xml:space="preserve">cu </w:t>
      </w:r>
      <w:r w:rsidRPr="00724C7B">
        <w:rPr>
          <w:rFonts w:ascii="Times New Roman" w:hAnsi="Times New Roman" w:cs="Times New Roman"/>
        </w:rPr>
        <w:t>privi</w:t>
      </w:r>
      <w:r>
        <w:rPr>
          <w:rFonts w:ascii="Times New Roman" w:hAnsi="Times New Roman" w:cs="Times New Roman"/>
        </w:rPr>
        <w:t>re</w:t>
      </w:r>
      <w:r w:rsidRPr="00724C7B">
        <w:rPr>
          <w:rFonts w:ascii="Times New Roman" w:hAnsi="Times New Roman" w:cs="Times New Roman"/>
        </w:rPr>
        <w:t xml:space="preserve"> </w:t>
      </w:r>
      <w:r>
        <w:rPr>
          <w:rFonts w:ascii="Times New Roman" w:hAnsi="Times New Roman" w:cs="Times New Roman"/>
        </w:rPr>
        <w:t xml:space="preserve">la </w:t>
      </w:r>
      <w:r w:rsidRPr="00724C7B">
        <w:rPr>
          <w:rFonts w:ascii="Times New Roman" w:hAnsi="Times New Roman" w:cs="Times New Roman"/>
        </w:rPr>
        <w:t xml:space="preserve">planificarea </w:t>
      </w:r>
      <w:r>
        <w:rPr>
          <w:rFonts w:ascii="Times New Roman" w:hAnsi="Times New Roman" w:cs="Times New Roman"/>
        </w:rPr>
        <w:t>strategică</w:t>
      </w:r>
      <w:r w:rsidRPr="00724C7B">
        <w:rPr>
          <w:rFonts w:ascii="Times New Roman" w:hAnsi="Times New Roman" w:cs="Times New Roman"/>
        </w:rPr>
        <w:t xml:space="preserve"> și în baza art. 4 alin. (1) lit. b) și art. 5 alin. (1) din Legea nr. 174/2017 cu privire la energetică. Elaborarea strategiei este prevăzută în </w:t>
      </w:r>
      <w:r>
        <w:rPr>
          <w:rFonts w:ascii="Times New Roman" w:hAnsi="Times New Roman" w:cs="Times New Roman"/>
        </w:rPr>
        <w:t xml:space="preserve">Acordul de Asociere între UE și Comunitatea Europeană a Energiei Atomice (Euratom) și statele membre ale acestora, pe de o parte, și Republica Moldova, pe de altă parte – Art. 76-79; Planul Național de acțiuni pentru aderarea Republicii Moldova la Uniunea Europeană pe anii 2024-2027, aprobat prin Hotărârea Guvernului nr. 829/2023 – Clusterul 4, Capăitolul 15 Energie, acțiunea Nr. 24; </w:t>
      </w:r>
      <w:r w:rsidRPr="00724C7B">
        <w:rPr>
          <w:rFonts w:ascii="Times New Roman" w:hAnsi="Times New Roman" w:cs="Times New Roman"/>
        </w:rPr>
        <w:t>Planul Național de Reglementări pentru anul 2025</w:t>
      </w:r>
      <w:r>
        <w:rPr>
          <w:rFonts w:ascii="Times New Roman" w:hAnsi="Times New Roman" w:cs="Times New Roman"/>
        </w:rPr>
        <w:t>, aprobat prin Hotărârea Guvernului nr. 841/2024, Capitolul Energie, acțiunea 303</w:t>
      </w:r>
      <w:r w:rsidRPr="00724C7B">
        <w:rPr>
          <w:rFonts w:ascii="Times New Roman" w:hAnsi="Times New Roman" w:cs="Times New Roman"/>
        </w:rPr>
        <w:t>. Necesitatea acesteia derivă din angajamentele naționale asumate prin CND 3.0</w:t>
      </w:r>
      <w:r>
        <w:rPr>
          <w:rFonts w:ascii="Times New Roman" w:hAnsi="Times New Roman" w:cs="Times New Roman"/>
        </w:rPr>
        <w:t xml:space="preserve"> prin următoarele elemente de contribuție: (i) Promovarea surselor de energie regenerabilă, (ii) Promovarea eficienței energetice, (iii) Promovarea securității energetice, (iv) Managementul durabil al deșeurior și sistemul de responsabilitate extinsă a producătorilor și altele, totodată cu referire la Programul de dezvoltare cu emisii reduse al Republicii Moldova până în 2030 și 2035, aprobat prin Hotărârea Guvernului nr. 659/2023, unde din cele 7 obiective specifice, 3 din ele intră în aria sectorului energetic: „</w:t>
      </w:r>
      <w:r w:rsidRPr="00C54F5C">
        <w:rPr>
          <w:rFonts w:ascii="Times New Roman" w:hAnsi="Times New Roman" w:cs="Times New Roman"/>
        </w:rPr>
        <w:t>Obiectivul specific 1: reducerea necondiționată a emisiilor de GES din sectorul energetic până în 2030 cu 81 procente comparativ cu anul 1990; ‒ Obiectivul specific 2: reducerea necondiționată a emisiilor de GES din sectorul transporturi până în 2030 cu 52 procente comparativ cu anul 1990; ‒ Obiectivul specific 3: reducerea necondiționată a emisiilor de GES din sectorul clădiri până în 2030 cu 74 procente comparativ cu anul 1990</w:t>
      </w:r>
      <w:r>
        <w:rPr>
          <w:rFonts w:ascii="Times New Roman" w:hAnsi="Times New Roman" w:cs="Times New Roman"/>
        </w:rPr>
        <w:t>” și</w:t>
      </w:r>
      <w:r w:rsidRPr="00C54F5C">
        <w:rPr>
          <w:rFonts w:ascii="Times New Roman" w:hAnsi="Times New Roman" w:cs="Times New Roman"/>
        </w:rPr>
        <w:t xml:space="preserve"> </w:t>
      </w:r>
      <w:r>
        <w:rPr>
          <w:rFonts w:ascii="Times New Roman" w:hAnsi="Times New Roman" w:cs="Times New Roman"/>
        </w:rPr>
        <w:t>celelalte 4 din sectoarele: industrie, agricultură, LULUSF și deșeuri, de asemenea, sunt legate într-o oarecare măsură de sectorul energetic;</w:t>
      </w:r>
      <w:r w:rsidRPr="00724C7B">
        <w:rPr>
          <w:rFonts w:ascii="Times New Roman" w:hAnsi="Times New Roman" w:cs="Times New Roman"/>
        </w:rPr>
        <w:t xml:space="preserve"> Strategia „Moldova Europeană 2030” </w:t>
      </w:r>
      <w:r>
        <w:rPr>
          <w:rFonts w:ascii="Times New Roman" w:hAnsi="Times New Roman" w:cs="Times New Roman"/>
        </w:rPr>
        <w:t xml:space="preserve">la Obiectivul general 10 „Asigurarea unui mediu sănătos și sigur”, Direcția de politici și intervenții prioritare 5.15 „Securitatea și eficiența energetică, energie din surse regenerabile” </w:t>
      </w:r>
      <w:r w:rsidRPr="00724C7B">
        <w:rPr>
          <w:rFonts w:ascii="Times New Roman" w:hAnsi="Times New Roman" w:cs="Times New Roman"/>
        </w:rPr>
        <w:t>și procesul de integrare europeană.</w:t>
      </w:r>
    </w:p>
    <w:p w14:paraId="0A6AF843" w14:textId="77777777" w:rsidR="000C63C7" w:rsidRDefault="000C63C7" w:rsidP="000C63C7">
      <w:pPr>
        <w:jc w:val="both"/>
        <w:rPr>
          <w:rFonts w:ascii="Times New Roman" w:hAnsi="Times New Roman" w:cs="Times New Roman"/>
        </w:rPr>
      </w:pPr>
      <w:r w:rsidRPr="00724C7B">
        <w:rPr>
          <w:rFonts w:ascii="Times New Roman" w:hAnsi="Times New Roman" w:cs="Times New Roman"/>
        </w:rPr>
        <w:t>D</w:t>
      </w:r>
      <w:r>
        <w:rPr>
          <w:rFonts w:ascii="Times New Roman" w:hAnsi="Times New Roman" w:cs="Times New Roman"/>
        </w:rPr>
        <w:t>ocumentul de politici</w:t>
      </w:r>
      <w:r w:rsidRPr="00724C7B">
        <w:rPr>
          <w:rFonts w:ascii="Times New Roman" w:hAnsi="Times New Roman" w:cs="Times New Roman"/>
        </w:rPr>
        <w:t xml:space="preserve"> creează cadrul politic și instituțional pentru dezvoltarea unor activități</w:t>
      </w:r>
      <w:r>
        <w:rPr>
          <w:rFonts w:ascii="Times New Roman" w:hAnsi="Times New Roman" w:cs="Times New Roman"/>
        </w:rPr>
        <w:t xml:space="preserve">, care se regăsesc în listele anexelor 1 și 2 la </w:t>
      </w:r>
      <w:r w:rsidRPr="00102C48">
        <w:rPr>
          <w:rFonts w:ascii="Times New Roman" w:hAnsi="Times New Roman" w:cs="Times New Roman"/>
        </w:rPr>
        <w:t>Legea nr. 86/2014</w:t>
      </w:r>
      <w:r>
        <w:rPr>
          <w:rFonts w:ascii="Times New Roman" w:hAnsi="Times New Roman" w:cs="Times New Roman"/>
        </w:rPr>
        <w:t>.</w:t>
      </w:r>
    </w:p>
    <w:p w14:paraId="02A2D61A" w14:textId="77777777" w:rsidR="003255DC" w:rsidRDefault="003255DC" w:rsidP="003255DC">
      <w:pPr>
        <w:spacing w:after="0"/>
        <w:jc w:val="both"/>
        <w:rPr>
          <w:rFonts w:ascii="Times New Roman" w:hAnsi="Times New Roman" w:cs="Times New Roman"/>
          <w:u w:val="single"/>
          <w:lang w:val="ro-RO"/>
        </w:rPr>
      </w:pPr>
      <w:r w:rsidRPr="003255DC">
        <w:rPr>
          <w:rFonts w:ascii="Times New Roman" w:hAnsi="Times New Roman" w:cs="Times New Roman"/>
          <w:u w:val="single"/>
        </w:rPr>
        <w:t>Pentru industria energetic</w:t>
      </w:r>
      <w:r w:rsidRPr="003255DC">
        <w:rPr>
          <w:rFonts w:ascii="Times New Roman" w:hAnsi="Times New Roman" w:cs="Times New Roman"/>
          <w:u w:val="single"/>
          <w:lang w:val="ro-RO"/>
        </w:rPr>
        <w:t>ă</w:t>
      </w:r>
      <w:r>
        <w:rPr>
          <w:rFonts w:ascii="Times New Roman" w:hAnsi="Times New Roman" w:cs="Times New Roman"/>
          <w:u w:val="single"/>
          <w:lang w:val="ro-RO"/>
        </w:rPr>
        <w:t>:</w:t>
      </w:r>
    </w:p>
    <w:p w14:paraId="2219C09A" w14:textId="012EFCBF" w:rsidR="003255DC" w:rsidRPr="00C370F2" w:rsidRDefault="003255DC" w:rsidP="003255DC">
      <w:pPr>
        <w:jc w:val="both"/>
        <w:rPr>
          <w:rFonts w:ascii="Times New Roman" w:hAnsi="Times New Roman" w:cs="Times New Roman"/>
          <w:lang w:val="ro-MD"/>
        </w:rPr>
      </w:pPr>
      <w:r>
        <w:rPr>
          <w:rFonts w:ascii="Times New Roman" w:hAnsi="Times New Roman" w:cs="Times New Roman"/>
          <w:lang w:val="ro-MD"/>
        </w:rPr>
        <w:t xml:space="preserve">- </w:t>
      </w:r>
      <w:r w:rsidRPr="00947BB7">
        <w:rPr>
          <w:rFonts w:ascii="Times New Roman" w:hAnsi="Times New Roman" w:cs="Times New Roman"/>
          <w:lang w:val="ro-MD"/>
        </w:rPr>
        <w:t>Instalaţii industriale pentru producerea electricităţii, a aburului şi a apei calde (neincluse în anexa nr. 1, cu o putere de la 5 până la 300 megawaţi)</w:t>
      </w:r>
      <w:r>
        <w:rPr>
          <w:rFonts w:ascii="Times New Roman" w:hAnsi="Times New Roman" w:cs="Times New Roman"/>
          <w:lang w:val="ro-MD"/>
        </w:rPr>
        <w:t>.</w:t>
      </w:r>
    </w:p>
    <w:p w14:paraId="50FE8A7E" w14:textId="5E05B443" w:rsidR="003255DC" w:rsidRPr="00C370F2" w:rsidRDefault="003255DC" w:rsidP="003255DC">
      <w:pPr>
        <w:spacing w:after="0"/>
        <w:jc w:val="both"/>
        <w:rPr>
          <w:rFonts w:ascii="Times New Roman" w:hAnsi="Times New Roman" w:cs="Times New Roman"/>
          <w:lang w:val="ro-MD"/>
        </w:rPr>
      </w:pPr>
      <w:r>
        <w:rPr>
          <w:rFonts w:ascii="Times New Roman" w:hAnsi="Times New Roman" w:cs="Times New Roman"/>
          <w:lang w:val="ro-MD"/>
        </w:rPr>
        <w:t xml:space="preserve">- </w:t>
      </w:r>
      <w:r w:rsidRPr="00947BB7">
        <w:rPr>
          <w:rFonts w:ascii="Times New Roman" w:hAnsi="Times New Roman" w:cs="Times New Roman"/>
          <w:lang w:val="ro-MD"/>
        </w:rPr>
        <w:t>Instalaţii industriale pentru transportul gazelor, al aburului şi al apei calde; transmiterea energiei electrice prin cabluri aeriene (neincluse la anexa nr. 1)</w:t>
      </w:r>
      <w:r>
        <w:rPr>
          <w:rFonts w:ascii="Times New Roman" w:hAnsi="Times New Roman" w:cs="Times New Roman"/>
          <w:lang w:val="ro-MD"/>
        </w:rPr>
        <w:t>.</w:t>
      </w:r>
    </w:p>
    <w:p w14:paraId="1E52DE70" w14:textId="77777777" w:rsidR="003255DC" w:rsidRDefault="003255DC" w:rsidP="003255DC">
      <w:pPr>
        <w:spacing w:after="0"/>
        <w:jc w:val="both"/>
        <w:rPr>
          <w:rFonts w:ascii="Times New Roman" w:hAnsi="Times New Roman" w:cs="Times New Roman"/>
          <w:lang w:val="ro-MD"/>
        </w:rPr>
      </w:pPr>
      <w:r>
        <w:rPr>
          <w:rFonts w:ascii="Times New Roman" w:hAnsi="Times New Roman" w:cs="Times New Roman"/>
          <w:lang w:val="ro-MD"/>
        </w:rPr>
        <w:lastRenderedPageBreak/>
        <w:t xml:space="preserve">- </w:t>
      </w:r>
      <w:r w:rsidRPr="00947BB7">
        <w:rPr>
          <w:rFonts w:ascii="Times New Roman" w:hAnsi="Times New Roman" w:cs="Times New Roman"/>
          <w:lang w:val="ro-MD"/>
        </w:rPr>
        <w:t>Depozitarea la suprafaţă a combustibililor fosili</w:t>
      </w:r>
      <w:r>
        <w:rPr>
          <w:rFonts w:ascii="Times New Roman" w:hAnsi="Times New Roman" w:cs="Times New Roman"/>
          <w:lang w:val="ro-MD"/>
        </w:rPr>
        <w:t>.</w:t>
      </w:r>
    </w:p>
    <w:p w14:paraId="0EE3C5A1" w14:textId="77777777" w:rsidR="003255DC" w:rsidRDefault="003255DC" w:rsidP="003255DC">
      <w:pPr>
        <w:spacing w:after="0"/>
        <w:jc w:val="both"/>
        <w:rPr>
          <w:rFonts w:ascii="Times New Roman" w:hAnsi="Times New Roman" w:cs="Times New Roman"/>
          <w:lang w:val="ro-MD"/>
        </w:rPr>
      </w:pPr>
      <w:r>
        <w:rPr>
          <w:rFonts w:ascii="Times New Roman" w:hAnsi="Times New Roman" w:cs="Times New Roman"/>
          <w:lang w:val="ro-MD"/>
        </w:rPr>
        <w:t xml:space="preserve">- </w:t>
      </w:r>
      <w:r w:rsidRPr="00947BB7">
        <w:rPr>
          <w:rFonts w:ascii="Times New Roman" w:hAnsi="Times New Roman" w:cs="Times New Roman"/>
          <w:lang w:val="ro-MD"/>
        </w:rPr>
        <w:t>Instalaţii pentru producerea energiei hidroelectrice</w:t>
      </w:r>
      <w:r>
        <w:rPr>
          <w:rFonts w:ascii="Times New Roman" w:hAnsi="Times New Roman" w:cs="Times New Roman"/>
          <w:lang w:val="ro-MD"/>
        </w:rPr>
        <w:t>.</w:t>
      </w:r>
    </w:p>
    <w:p w14:paraId="0B6611DB" w14:textId="32598252" w:rsidR="003255DC" w:rsidRDefault="003255DC" w:rsidP="003255DC">
      <w:pPr>
        <w:spacing w:after="0"/>
        <w:jc w:val="both"/>
        <w:rPr>
          <w:rFonts w:ascii="Times New Roman" w:hAnsi="Times New Roman" w:cs="Times New Roman"/>
          <w:lang w:val="ro-MD"/>
        </w:rPr>
      </w:pPr>
      <w:r>
        <w:rPr>
          <w:rFonts w:ascii="Times New Roman" w:hAnsi="Times New Roman" w:cs="Times New Roman"/>
          <w:lang w:val="ro-MD"/>
        </w:rPr>
        <w:t xml:space="preserve">- </w:t>
      </w:r>
      <w:r w:rsidRPr="00947BB7">
        <w:rPr>
          <w:rFonts w:ascii="Times New Roman" w:hAnsi="Times New Roman" w:cs="Times New Roman"/>
          <w:lang w:val="ro-MD"/>
        </w:rPr>
        <w:t>Instalaţii destinate transformării energiei eoliene în energie electrică (parcuri eoliene) cu nălţimea construcţiei de peste 20 m</w:t>
      </w:r>
      <w:r>
        <w:rPr>
          <w:rFonts w:ascii="Times New Roman" w:hAnsi="Times New Roman" w:cs="Times New Roman"/>
          <w:lang w:val="ro-MD"/>
        </w:rPr>
        <w:t>.</w:t>
      </w:r>
    </w:p>
    <w:p w14:paraId="0424C834" w14:textId="670D7C4A" w:rsidR="003255DC" w:rsidRDefault="003255DC" w:rsidP="008D616B">
      <w:pPr>
        <w:spacing w:after="0"/>
        <w:jc w:val="both"/>
        <w:rPr>
          <w:rFonts w:ascii="Times New Roman" w:hAnsi="Times New Roman" w:cs="Times New Roman"/>
        </w:rPr>
      </w:pPr>
      <w:r>
        <w:rPr>
          <w:rFonts w:ascii="Times New Roman" w:hAnsi="Times New Roman" w:cs="Times New Roman"/>
        </w:rPr>
        <w:t>- C</w:t>
      </w:r>
      <w:r w:rsidRPr="00724C7B">
        <w:rPr>
          <w:rFonts w:ascii="Times New Roman" w:hAnsi="Times New Roman" w:cs="Times New Roman"/>
        </w:rPr>
        <w:t>onstrucția de capacități de producere a energiei electrice din surse regenerabile, extinderea infrastructurii de transport și distribuție a energiei electrice, producerea și utilizarea hidrogenului, care se regăsesc în anexa nr. 1 (pct. 1, 2, 3, 17) și anexa nr. 2 (pct. 3, 10) ale Legii nr. 86/2014.</w:t>
      </w:r>
    </w:p>
    <w:p w14:paraId="1126CD94" w14:textId="583CDFA0" w:rsidR="008D616B" w:rsidRPr="00724C7B" w:rsidRDefault="008D616B" w:rsidP="003255DC">
      <w:pPr>
        <w:jc w:val="both"/>
        <w:rPr>
          <w:rFonts w:ascii="Times New Roman" w:hAnsi="Times New Roman" w:cs="Times New Roman"/>
        </w:rPr>
      </w:pPr>
      <w:r>
        <w:rPr>
          <w:rFonts w:ascii="Times New Roman" w:hAnsi="Times New Roman" w:cs="Times New Roman"/>
        </w:rPr>
        <w:t>- Examinarea construcției centralelor mici modulare nucleare SMR.</w:t>
      </w:r>
    </w:p>
    <w:p w14:paraId="5BEACBDE" w14:textId="30362E25" w:rsidR="00320413" w:rsidRDefault="00320413" w:rsidP="000C63C7">
      <w:pPr>
        <w:ind w:firstLine="709"/>
        <w:jc w:val="both"/>
        <w:rPr>
          <w:rFonts w:ascii="Times New Roman" w:hAnsi="Times New Roman" w:cs="Times New Roman"/>
          <w:u w:val="single"/>
        </w:rPr>
      </w:pPr>
      <w:r w:rsidRPr="003744EC">
        <w:rPr>
          <w:rFonts w:ascii="Times New Roman" w:hAnsi="Times New Roman" w:cs="Times New Roman"/>
          <w:u w:val="single"/>
        </w:rPr>
        <w:t xml:space="preserve">f) posibilele efecte semnificative asupra mediului, inclusiv asupra sănătății populației, ca urmare a implementării documentului de politici sau planificare </w:t>
      </w:r>
    </w:p>
    <w:p w14:paraId="725A87C2" w14:textId="23FB143F" w:rsidR="00DD1624" w:rsidRPr="00DD1624" w:rsidRDefault="00DD1624" w:rsidP="008A63CB">
      <w:pPr>
        <w:jc w:val="both"/>
        <w:rPr>
          <w:rFonts w:ascii="Times New Roman" w:hAnsi="Times New Roman" w:cs="Times New Roman"/>
        </w:rPr>
      </w:pPr>
      <w:r w:rsidRPr="008A63CB">
        <w:rPr>
          <w:rFonts w:ascii="Times New Roman" w:hAnsi="Times New Roman" w:cs="Times New Roman"/>
        </w:rPr>
        <w:t>S</w:t>
      </w:r>
      <w:r w:rsidR="008A63CB" w:rsidRPr="008A63CB">
        <w:rPr>
          <w:rFonts w:ascii="Times New Roman" w:hAnsi="Times New Roman" w:cs="Times New Roman"/>
        </w:rPr>
        <w:t xml:space="preserve">trategia </w:t>
      </w:r>
      <w:r w:rsidRPr="008A63CB">
        <w:rPr>
          <w:rFonts w:ascii="Times New Roman" w:hAnsi="Times New Roman" w:cs="Times New Roman"/>
        </w:rPr>
        <w:t>2025-2050</w:t>
      </w:r>
      <w:r w:rsidRPr="00DD1624">
        <w:rPr>
          <w:rFonts w:ascii="Times New Roman" w:hAnsi="Times New Roman" w:cs="Times New Roman"/>
        </w:rPr>
        <w:t xml:space="preserve"> </w:t>
      </w:r>
      <w:r w:rsidR="008A63CB">
        <w:rPr>
          <w:rFonts w:ascii="Times New Roman" w:hAnsi="Times New Roman" w:cs="Times New Roman"/>
        </w:rPr>
        <w:t xml:space="preserve">va </w:t>
      </w:r>
      <w:r w:rsidRPr="00DD1624">
        <w:rPr>
          <w:rFonts w:ascii="Times New Roman" w:hAnsi="Times New Roman" w:cs="Times New Roman"/>
        </w:rPr>
        <w:t xml:space="preserve">răspunde priorităților globale și necesită un cadru unitar de aplicare la nivelul întregii Republici Moldova. Analiza s-a concentrat pe malul drept al râului Nistru, iar măsurile propuse urmează a fi implementate în această zonă. Pornind de la descrierea elementelor de mediu și a aspectelor sectoriale se prezintă mai jos caracteristicile de mediu ale zonelor </w:t>
      </w:r>
      <w:r w:rsidR="008A63CB">
        <w:rPr>
          <w:rFonts w:ascii="Times New Roman" w:hAnsi="Times New Roman" w:cs="Times New Roman"/>
        </w:rPr>
        <w:t xml:space="preserve">cu posibilă </w:t>
      </w:r>
      <w:r w:rsidRPr="00DD1624">
        <w:rPr>
          <w:rFonts w:ascii="Times New Roman" w:hAnsi="Times New Roman" w:cs="Times New Roman"/>
        </w:rPr>
        <w:t>potențial</w:t>
      </w:r>
      <w:r w:rsidR="008A63CB">
        <w:rPr>
          <w:rFonts w:ascii="Times New Roman" w:hAnsi="Times New Roman" w:cs="Times New Roman"/>
        </w:rPr>
        <w:t>ă</w:t>
      </w:r>
      <w:r w:rsidRPr="00DD1624">
        <w:rPr>
          <w:rFonts w:ascii="Times New Roman" w:hAnsi="Times New Roman" w:cs="Times New Roman"/>
        </w:rPr>
        <w:t xml:space="preserve"> afectate:</w:t>
      </w:r>
    </w:p>
    <w:p w14:paraId="1617125E" w14:textId="002DECB1" w:rsidR="00DD1624" w:rsidRPr="008A63CB" w:rsidRDefault="00DD1624" w:rsidP="008A63CB">
      <w:pPr>
        <w:spacing w:after="0"/>
        <w:jc w:val="both"/>
        <w:rPr>
          <w:rFonts w:ascii="Times New Roman" w:hAnsi="Times New Roman" w:cs="Times New Roman"/>
        </w:rPr>
      </w:pPr>
      <w:r w:rsidRPr="008A63CB">
        <w:rPr>
          <w:rFonts w:ascii="Times New Roman" w:hAnsi="Times New Roman" w:cs="Times New Roman"/>
          <w:u w:val="single"/>
        </w:rPr>
        <w:t>Sisteme forestiere:</w:t>
      </w:r>
    </w:p>
    <w:p w14:paraId="0E28616A" w14:textId="77777777" w:rsidR="00DD1624" w:rsidRPr="00DD1624" w:rsidRDefault="00DD1624" w:rsidP="008A63CB">
      <w:pPr>
        <w:spacing w:after="0"/>
        <w:jc w:val="both"/>
        <w:rPr>
          <w:rFonts w:ascii="Times New Roman" w:hAnsi="Times New Roman" w:cs="Times New Roman"/>
        </w:rPr>
      </w:pPr>
      <w:r w:rsidRPr="00DD1624">
        <w:rPr>
          <w:rFonts w:ascii="Times New Roman" w:hAnsi="Times New Roman" w:cs="Times New Roman"/>
        </w:rPr>
        <w:t>Formațiunile forestiere și-au pierdut o parte semnificativă din suprafața inițială, în special din cauza transformărilor agrare, dar rămân răspândite pe întreg teritoriul țării, o parte fiind protejată.</w:t>
      </w:r>
    </w:p>
    <w:p w14:paraId="7080C038" w14:textId="64922C0A" w:rsidR="00DD1624" w:rsidRPr="00DD1624" w:rsidRDefault="00DD1624" w:rsidP="00F972DD">
      <w:pPr>
        <w:jc w:val="both"/>
        <w:rPr>
          <w:rFonts w:ascii="Times New Roman" w:hAnsi="Times New Roman" w:cs="Times New Roman"/>
        </w:rPr>
      </w:pPr>
      <w:r w:rsidRPr="00DD1624">
        <w:rPr>
          <w:rFonts w:ascii="Times New Roman" w:hAnsi="Times New Roman" w:cs="Times New Roman"/>
        </w:rPr>
        <w:t>Silvicultura a modificat pădurile, salcâmul ocupând peste 36% din suprafața împădurită.</w:t>
      </w:r>
      <w:r w:rsidR="008A63CB">
        <w:rPr>
          <w:rFonts w:ascii="Times New Roman" w:hAnsi="Times New Roman" w:cs="Times New Roman"/>
        </w:rPr>
        <w:t xml:space="preserve"> </w:t>
      </w:r>
      <w:r w:rsidRPr="00DD1624">
        <w:rPr>
          <w:rFonts w:ascii="Times New Roman" w:hAnsi="Times New Roman" w:cs="Times New Roman"/>
        </w:rPr>
        <w:t>Reducerea rezervei de apă în sol și creșterea evapotranspirației, generate de temperaturile ridicate, reprezintă factori de stres pentru vegetație, influențând densitatea și compoziția speciilor.</w:t>
      </w:r>
      <w:r w:rsidR="008A63CB">
        <w:rPr>
          <w:rFonts w:ascii="Times New Roman" w:hAnsi="Times New Roman" w:cs="Times New Roman"/>
        </w:rPr>
        <w:t xml:space="preserve"> </w:t>
      </w:r>
      <w:r w:rsidRPr="00DD1624">
        <w:rPr>
          <w:rFonts w:ascii="Times New Roman" w:hAnsi="Times New Roman" w:cs="Times New Roman"/>
        </w:rPr>
        <w:t>Este probabilă creșterea numărului de dăunători și boli forestiere, afectând fragmentarea suprafețelor forestiere, iar schimbările climatice pot extinde aria de răspândire a acestora.</w:t>
      </w:r>
      <w:r w:rsidR="008A63CB">
        <w:rPr>
          <w:rFonts w:ascii="Times New Roman" w:hAnsi="Times New Roman" w:cs="Times New Roman"/>
        </w:rPr>
        <w:t xml:space="preserve"> </w:t>
      </w:r>
      <w:r w:rsidRPr="00DD1624">
        <w:rPr>
          <w:rFonts w:ascii="Times New Roman" w:hAnsi="Times New Roman" w:cs="Times New Roman"/>
        </w:rPr>
        <w:t>Pădurile joacă un rol esențial în absorbția CO₂, sunt vulnerabile la schimbările climatice și furnizează biomasă regenerabilă pentru energie și construcții.</w:t>
      </w:r>
    </w:p>
    <w:p w14:paraId="165B054E" w14:textId="276A763B" w:rsidR="00DD1624" w:rsidRPr="008A63CB" w:rsidRDefault="00DD1624" w:rsidP="008A63CB">
      <w:pPr>
        <w:spacing w:after="0"/>
        <w:jc w:val="both"/>
        <w:rPr>
          <w:rFonts w:ascii="Times New Roman" w:hAnsi="Times New Roman" w:cs="Times New Roman"/>
        </w:rPr>
      </w:pPr>
      <w:r w:rsidRPr="008A63CB">
        <w:rPr>
          <w:rFonts w:ascii="Times New Roman" w:hAnsi="Times New Roman" w:cs="Times New Roman"/>
          <w:u w:val="single"/>
        </w:rPr>
        <w:t>Sisteme agricole:</w:t>
      </w:r>
    </w:p>
    <w:p w14:paraId="20BF6562" w14:textId="684EDC30" w:rsidR="008A63CB" w:rsidRPr="00DD1624" w:rsidRDefault="00DD1624" w:rsidP="00F972DD">
      <w:pPr>
        <w:jc w:val="both"/>
        <w:rPr>
          <w:rFonts w:ascii="Times New Roman" w:hAnsi="Times New Roman" w:cs="Times New Roman"/>
        </w:rPr>
      </w:pPr>
      <w:r w:rsidRPr="00DD1624">
        <w:rPr>
          <w:rFonts w:ascii="Times New Roman" w:hAnsi="Times New Roman" w:cs="Times New Roman"/>
        </w:rPr>
        <w:t>Culturile extensive de cereale sunt cele mai relevante din punct de vedere al mediului.</w:t>
      </w:r>
      <w:r w:rsidR="00F972DD">
        <w:rPr>
          <w:rFonts w:ascii="Times New Roman" w:hAnsi="Times New Roman" w:cs="Times New Roman"/>
        </w:rPr>
        <w:t xml:space="preserve"> </w:t>
      </w:r>
      <w:r w:rsidRPr="00DD1624">
        <w:rPr>
          <w:rFonts w:ascii="Times New Roman" w:hAnsi="Times New Roman" w:cs="Times New Roman"/>
        </w:rPr>
        <w:t>Creșterea temperaturilor și modificările precipitațiilor afectează agricultura, cu impact diferit între regiuni, crescând cererea de apă și frecvența stresului hidric.</w:t>
      </w:r>
      <w:r w:rsidR="00F972DD">
        <w:rPr>
          <w:rFonts w:ascii="Times New Roman" w:hAnsi="Times New Roman" w:cs="Times New Roman"/>
        </w:rPr>
        <w:t xml:space="preserve"> </w:t>
      </w:r>
      <w:r w:rsidRPr="00DD1624">
        <w:rPr>
          <w:rFonts w:ascii="Times New Roman" w:hAnsi="Times New Roman" w:cs="Times New Roman"/>
        </w:rPr>
        <w:t>Distribuția dăunătorilor și a bolilor culturilor se poate modifica.</w:t>
      </w:r>
      <w:r w:rsidR="00F972DD">
        <w:rPr>
          <w:rFonts w:ascii="Times New Roman" w:hAnsi="Times New Roman" w:cs="Times New Roman"/>
        </w:rPr>
        <w:t xml:space="preserve"> </w:t>
      </w:r>
      <w:r w:rsidRPr="00DD1624">
        <w:rPr>
          <w:rFonts w:ascii="Times New Roman" w:hAnsi="Times New Roman" w:cs="Times New Roman"/>
        </w:rPr>
        <w:t>SERM 2025-2050 promovează instalarea de echipamente pentru energie regenerabilă, afectând câmpii interioare potrivite pentru energie solară și eoliană, generând totodată oportunități de angajare și menținerea populației în zonele afectate.</w:t>
      </w:r>
      <w:r w:rsidR="00F972DD">
        <w:rPr>
          <w:rFonts w:ascii="Times New Roman" w:hAnsi="Times New Roman" w:cs="Times New Roman"/>
        </w:rPr>
        <w:t xml:space="preserve">  </w:t>
      </w:r>
      <w:r w:rsidRPr="00DD1624">
        <w:rPr>
          <w:rFonts w:ascii="Times New Roman" w:hAnsi="Times New Roman" w:cs="Times New Roman"/>
        </w:rPr>
        <w:t>Măsurile care sporesc rolul terenurilor agricole ca absorbante de CO₂ și utilizează deșeurile agricole pentru energie contribuie la creșterea eficienței energetice.</w:t>
      </w:r>
      <w:r w:rsidR="00F972DD">
        <w:rPr>
          <w:rFonts w:ascii="Times New Roman" w:hAnsi="Times New Roman" w:cs="Times New Roman"/>
        </w:rPr>
        <w:t xml:space="preserve"> </w:t>
      </w:r>
      <w:r w:rsidRPr="00DD1624">
        <w:rPr>
          <w:rFonts w:ascii="Times New Roman" w:hAnsi="Times New Roman" w:cs="Times New Roman"/>
        </w:rPr>
        <w:t>Transformările vizând eficiența energetică, optimizarea fertilizării și valorificarea deșeurilor reduc contaminarea apelor de suprafață și subterane.</w:t>
      </w:r>
      <w:r w:rsidR="00F972DD">
        <w:rPr>
          <w:rFonts w:ascii="Times New Roman" w:hAnsi="Times New Roman" w:cs="Times New Roman"/>
        </w:rPr>
        <w:t xml:space="preserve"> </w:t>
      </w:r>
      <w:r w:rsidRPr="00DD1624">
        <w:rPr>
          <w:rFonts w:ascii="Times New Roman" w:hAnsi="Times New Roman" w:cs="Times New Roman"/>
        </w:rPr>
        <w:t>Promovarea rotațiilor de culturi erbacee, inclusiv leguminoase și semințe oleaginoase, crește rezistența solului și a culturilor, iar separarea solid-lichid permite utilizarea fracției lichide ca îngrășământ pentru irigații.</w:t>
      </w:r>
    </w:p>
    <w:p w14:paraId="73ABF41F" w14:textId="2B29A9DE" w:rsidR="00DD1624" w:rsidRPr="00DD1624" w:rsidRDefault="00DD1624" w:rsidP="00F972DD">
      <w:pPr>
        <w:spacing w:after="0"/>
        <w:jc w:val="both"/>
        <w:rPr>
          <w:rFonts w:ascii="Times New Roman" w:hAnsi="Times New Roman" w:cs="Times New Roman"/>
        </w:rPr>
      </w:pPr>
      <w:r w:rsidRPr="008A63CB">
        <w:rPr>
          <w:rFonts w:ascii="Times New Roman" w:hAnsi="Times New Roman" w:cs="Times New Roman"/>
          <w:u w:val="single"/>
        </w:rPr>
        <w:lastRenderedPageBreak/>
        <w:t>Sisteme acvatice:</w:t>
      </w:r>
    </w:p>
    <w:p w14:paraId="6EC44700" w14:textId="1A3342FC" w:rsidR="00DD1624" w:rsidRPr="00DD1624" w:rsidRDefault="00DD1624" w:rsidP="008A63CB">
      <w:pPr>
        <w:spacing w:after="0"/>
        <w:jc w:val="both"/>
        <w:rPr>
          <w:rFonts w:ascii="Times New Roman" w:hAnsi="Times New Roman" w:cs="Times New Roman"/>
        </w:rPr>
      </w:pPr>
      <w:r w:rsidRPr="00DD1624">
        <w:rPr>
          <w:rFonts w:ascii="Times New Roman" w:hAnsi="Times New Roman" w:cs="Times New Roman"/>
        </w:rPr>
        <w:t>Râurile sunt ecosisteme dinamice, transportând apă, sedimente, nutrienți și specii vii, și constituie coridoare ecologice, peisagistice și bioclimatice.</w:t>
      </w:r>
      <w:r w:rsidR="00F972DD">
        <w:rPr>
          <w:rFonts w:ascii="Times New Roman" w:hAnsi="Times New Roman" w:cs="Times New Roman"/>
        </w:rPr>
        <w:t xml:space="preserve"> </w:t>
      </w:r>
      <w:r w:rsidRPr="00DD1624">
        <w:rPr>
          <w:rFonts w:ascii="Times New Roman" w:hAnsi="Times New Roman" w:cs="Times New Roman"/>
        </w:rPr>
        <w:t>Schimbările climatice pot transforma ecosistemele permanente în sezoniere și chiar duce la dispariția unor ecosisteme.</w:t>
      </w:r>
      <w:r w:rsidR="00F972DD">
        <w:rPr>
          <w:rFonts w:ascii="Times New Roman" w:hAnsi="Times New Roman" w:cs="Times New Roman"/>
        </w:rPr>
        <w:t xml:space="preserve"> </w:t>
      </w:r>
      <w:r w:rsidRPr="00DD1624">
        <w:rPr>
          <w:rFonts w:ascii="Times New Roman" w:hAnsi="Times New Roman" w:cs="Times New Roman"/>
        </w:rPr>
        <w:t>Biodiversitatea va fi redusă, iar ciclurile biogeochimice modificate, afectând în special mediile endoreice și cele dependente de apele subterane.</w:t>
      </w:r>
      <w:r w:rsidR="00F972DD">
        <w:rPr>
          <w:rFonts w:ascii="Times New Roman" w:hAnsi="Times New Roman" w:cs="Times New Roman"/>
        </w:rPr>
        <w:t xml:space="preserve"> </w:t>
      </w:r>
      <w:r w:rsidRPr="00DD1624">
        <w:rPr>
          <w:rFonts w:ascii="Times New Roman" w:hAnsi="Times New Roman" w:cs="Times New Roman"/>
        </w:rPr>
        <w:t>Capacitatea de adaptare a ecosistemelor acvatice este limitată.</w:t>
      </w:r>
    </w:p>
    <w:p w14:paraId="7AE4D085" w14:textId="77777777" w:rsidR="00DD1624" w:rsidRPr="00DD1624" w:rsidRDefault="00DD1624" w:rsidP="008A63CB">
      <w:pPr>
        <w:jc w:val="both"/>
        <w:rPr>
          <w:rFonts w:ascii="Times New Roman" w:hAnsi="Times New Roman" w:cs="Times New Roman"/>
        </w:rPr>
      </w:pPr>
      <w:r w:rsidRPr="00DD1624">
        <w:rPr>
          <w:rFonts w:ascii="Times New Roman" w:hAnsi="Times New Roman" w:cs="Times New Roman"/>
        </w:rPr>
        <w:t>Sistemele fluviale nu sunt esențiale pentru producția de energie electrică, utilizarea hidroelectrică urmând să rămână constantă, cu modernizarea unităților existente.</w:t>
      </w:r>
    </w:p>
    <w:p w14:paraId="37207288" w14:textId="54AADD61" w:rsidR="00DD1624" w:rsidRPr="00DD1624" w:rsidRDefault="00DD1624" w:rsidP="008A63CB">
      <w:pPr>
        <w:spacing w:after="0"/>
        <w:jc w:val="both"/>
        <w:rPr>
          <w:rFonts w:ascii="Times New Roman" w:hAnsi="Times New Roman" w:cs="Times New Roman"/>
        </w:rPr>
      </w:pPr>
      <w:r w:rsidRPr="008A63CB">
        <w:rPr>
          <w:rFonts w:ascii="Times New Roman" w:hAnsi="Times New Roman" w:cs="Times New Roman"/>
          <w:u w:val="single"/>
        </w:rPr>
        <w:t>Mediul urban:</w:t>
      </w:r>
    </w:p>
    <w:p w14:paraId="1EAE9130" w14:textId="53125ADB" w:rsidR="00DD1624" w:rsidRPr="00DD1624" w:rsidRDefault="00DD1624" w:rsidP="00F972DD">
      <w:pPr>
        <w:jc w:val="both"/>
        <w:rPr>
          <w:rFonts w:ascii="Times New Roman" w:hAnsi="Times New Roman" w:cs="Times New Roman"/>
        </w:rPr>
      </w:pPr>
      <w:r w:rsidRPr="00DD1624">
        <w:rPr>
          <w:rFonts w:ascii="Times New Roman" w:hAnsi="Times New Roman" w:cs="Times New Roman"/>
        </w:rPr>
        <w:t>Aproximativ 43% din populație trăiește în zone urbane, ocupate de clădiri, zone industriale și comerciale.</w:t>
      </w:r>
      <w:r w:rsidR="00F972DD">
        <w:rPr>
          <w:rFonts w:ascii="Times New Roman" w:hAnsi="Times New Roman" w:cs="Times New Roman"/>
        </w:rPr>
        <w:t xml:space="preserve"> </w:t>
      </w:r>
      <w:r w:rsidRPr="00DD1624">
        <w:rPr>
          <w:rFonts w:ascii="Times New Roman" w:hAnsi="Times New Roman" w:cs="Times New Roman"/>
        </w:rPr>
        <w:t>Schimbările climatice afectează sănătatea și activitățile economice, prin fenomene extreme precum inundații sau valuri de căldură, accentuate de efectul de „insula de căldură”.</w:t>
      </w:r>
      <w:r w:rsidR="00F972DD">
        <w:rPr>
          <w:rFonts w:ascii="Times New Roman" w:hAnsi="Times New Roman" w:cs="Times New Roman"/>
        </w:rPr>
        <w:t xml:space="preserve"> </w:t>
      </w:r>
      <w:r w:rsidRPr="00DD1624">
        <w:rPr>
          <w:rFonts w:ascii="Times New Roman" w:hAnsi="Times New Roman" w:cs="Times New Roman"/>
        </w:rPr>
        <w:t>SERM 2025-2050 vizează decarbonizarea, eficiența energetică în transport și mobilitate, promovarea energiilor regenerabile, reabilitarea clădirilor și optimizarea echipamentelor energetice.</w:t>
      </w:r>
      <w:r w:rsidR="00F972DD">
        <w:rPr>
          <w:rFonts w:ascii="Times New Roman" w:hAnsi="Times New Roman" w:cs="Times New Roman"/>
        </w:rPr>
        <w:t xml:space="preserve"> </w:t>
      </w:r>
      <w:r w:rsidRPr="00DD1624">
        <w:rPr>
          <w:rFonts w:ascii="Times New Roman" w:hAnsi="Times New Roman" w:cs="Times New Roman"/>
        </w:rPr>
        <w:t>În sectorul deșeurilor, se urmărește reducerea generării de deșeuri, construirea de depozite conforme și valorificarea acestora, cu efecte pozitive asupra mediului urban, sănătății populației și creării de locuri de muncă.</w:t>
      </w:r>
    </w:p>
    <w:p w14:paraId="2A049C41" w14:textId="45118BD5" w:rsidR="00DD1624" w:rsidRPr="00DD1624" w:rsidRDefault="00DD1624" w:rsidP="008A63CB">
      <w:pPr>
        <w:spacing w:after="0"/>
        <w:jc w:val="both"/>
        <w:rPr>
          <w:rFonts w:ascii="Times New Roman" w:hAnsi="Times New Roman" w:cs="Times New Roman"/>
        </w:rPr>
      </w:pPr>
      <w:r w:rsidRPr="008A63CB">
        <w:rPr>
          <w:rFonts w:ascii="Times New Roman" w:hAnsi="Times New Roman" w:cs="Times New Roman"/>
          <w:u w:val="single"/>
        </w:rPr>
        <w:t>Zone sensibile și impact asupra mediului:</w:t>
      </w:r>
    </w:p>
    <w:p w14:paraId="3D442127" w14:textId="04C9A72A" w:rsidR="00DD1624" w:rsidRPr="00DD1624" w:rsidRDefault="00DD1624" w:rsidP="00A4370B">
      <w:pPr>
        <w:jc w:val="both"/>
        <w:rPr>
          <w:rFonts w:ascii="Times New Roman" w:hAnsi="Times New Roman" w:cs="Times New Roman"/>
        </w:rPr>
      </w:pPr>
      <w:r w:rsidRPr="00DD1624">
        <w:rPr>
          <w:rFonts w:ascii="Times New Roman" w:hAnsi="Times New Roman" w:cs="Times New Roman"/>
        </w:rPr>
        <w:t>Zonele sensibile includ ariile naturale protejate și zonele învecinate, unde noile investiții pot afecta apa, solul și aerul.</w:t>
      </w:r>
      <w:r w:rsidR="00F972DD">
        <w:rPr>
          <w:rFonts w:ascii="Times New Roman" w:hAnsi="Times New Roman" w:cs="Times New Roman"/>
        </w:rPr>
        <w:t xml:space="preserve"> </w:t>
      </w:r>
      <w:r w:rsidRPr="00DD1624">
        <w:rPr>
          <w:rFonts w:ascii="Times New Roman" w:hAnsi="Times New Roman" w:cs="Times New Roman"/>
        </w:rPr>
        <w:t>Impactul asupra habitatelor și speciilor sălbatice va fi evaluat în funcție de tipul, amploarea și amplasamentul lucrărilor.</w:t>
      </w:r>
      <w:r w:rsidR="00F972DD">
        <w:rPr>
          <w:rFonts w:ascii="Times New Roman" w:hAnsi="Times New Roman" w:cs="Times New Roman"/>
        </w:rPr>
        <w:t xml:space="preserve"> </w:t>
      </w:r>
      <w:r w:rsidRPr="00DD1624">
        <w:rPr>
          <w:rFonts w:ascii="Times New Roman" w:hAnsi="Times New Roman" w:cs="Times New Roman"/>
        </w:rPr>
        <w:t>Implementarea proiectelor se va realiza prin selectarea alternativelor care ating obiectivele cu costuri minime de mediu, incluzând măsuri de reducere sau compensare a efectelor, precum și refacerea structurală și funcțională a ecosistemelor afectate.</w:t>
      </w:r>
    </w:p>
    <w:p w14:paraId="706A1A5C" w14:textId="2D5B5C7D" w:rsidR="003744EC" w:rsidRPr="00A4370B" w:rsidRDefault="00A4370B" w:rsidP="00A4370B">
      <w:pPr>
        <w:spacing w:after="0"/>
        <w:ind w:firstLine="720"/>
        <w:jc w:val="both"/>
        <w:rPr>
          <w:rFonts w:ascii="Times New Roman" w:hAnsi="Times New Roman" w:cs="Times New Roman"/>
        </w:rPr>
      </w:pPr>
      <w:r w:rsidRPr="00A4370B">
        <w:rPr>
          <w:rFonts w:ascii="Times New Roman" w:hAnsi="Times New Roman" w:cs="Times New Roman"/>
        </w:rPr>
        <w:t>Pentru atenuarea impactului implementării prezentului document de politici se propun următoarele măsuri generale:</w:t>
      </w:r>
    </w:p>
    <w:p w14:paraId="39EA8125" w14:textId="09ABA39F" w:rsidR="00A4370B" w:rsidRPr="00A4370B" w:rsidRDefault="00A4370B" w:rsidP="00A4370B">
      <w:pPr>
        <w:spacing w:after="0"/>
        <w:jc w:val="both"/>
        <w:rPr>
          <w:rFonts w:ascii="Times New Roman" w:hAnsi="Times New Roman" w:cs="Times New Roman"/>
        </w:rPr>
      </w:pPr>
      <w:r w:rsidRPr="00A4370B">
        <w:rPr>
          <w:rFonts w:ascii="Times New Roman" w:hAnsi="Times New Roman" w:cs="Times New Roman"/>
        </w:rPr>
        <w:t>Etapizarea lucrărilor de construcție pentru proiectele din aceeași zonă sau din zone adiacente și corelarea măsurilor de prevenire, reducere și compensare (dacă este cazul) cu cele identificate în urma evaluărilor pentru alte strategii, planuri și programe.</w:t>
      </w:r>
    </w:p>
    <w:p w14:paraId="74693491" w14:textId="5FAEA3DC" w:rsidR="00A4370B" w:rsidRPr="00A4370B" w:rsidRDefault="00A4370B" w:rsidP="00A4370B">
      <w:pPr>
        <w:spacing w:after="0"/>
        <w:jc w:val="both"/>
        <w:rPr>
          <w:rFonts w:ascii="Times New Roman" w:hAnsi="Times New Roman" w:cs="Times New Roman"/>
        </w:rPr>
      </w:pPr>
      <w:r w:rsidRPr="00A4370B">
        <w:rPr>
          <w:rFonts w:ascii="Times New Roman" w:hAnsi="Times New Roman" w:cs="Times New Roman"/>
        </w:rPr>
        <w:t>În funcție de caracteristicile, tipul, amploarea și amplasamentul proiectelor, realizarea evaluării impactului asupra mediului (inclusiv aspecte legate de conservarea biodiversității) – recomandarea se aplică în special proiectelor pentru care s-au identificat efecte negative sau semnificativ negative în cadrul evaluării S</w:t>
      </w:r>
      <w:r>
        <w:rPr>
          <w:rFonts w:ascii="Times New Roman" w:hAnsi="Times New Roman" w:cs="Times New Roman"/>
        </w:rPr>
        <w:t>trategiei</w:t>
      </w:r>
      <w:r w:rsidRPr="00A4370B">
        <w:rPr>
          <w:rFonts w:ascii="Times New Roman" w:hAnsi="Times New Roman" w:cs="Times New Roman"/>
        </w:rPr>
        <w:t>.</w:t>
      </w:r>
    </w:p>
    <w:p w14:paraId="03128D80" w14:textId="4B84D89D" w:rsidR="00A4370B" w:rsidRPr="00A4370B" w:rsidRDefault="00A4370B" w:rsidP="00A4370B">
      <w:pPr>
        <w:spacing w:after="0"/>
        <w:jc w:val="both"/>
        <w:rPr>
          <w:rFonts w:ascii="Times New Roman" w:hAnsi="Times New Roman" w:cs="Times New Roman"/>
        </w:rPr>
      </w:pPr>
      <w:r w:rsidRPr="00A4370B">
        <w:rPr>
          <w:rFonts w:ascii="Times New Roman" w:hAnsi="Times New Roman" w:cs="Times New Roman"/>
        </w:rPr>
        <w:t xml:space="preserve">Abordarea tuturor aspectelor legate de etapa de construcție în cadrul evaluărilor de mediu, de la organizarea șantierului până la zonele unde sunt necesare defrișări (dacă acestea sunt indispensabile pentru proiect), carierele sau balastierele pentru materii prime, construcția drumurilor tehnologice și asigurarea utilităților. Etapa de construcție trebuie evaluată din perspectiva impactului asupra mediului, ținând cont de condițiile specifice de amplasament, iar măsurile propuse trebuie să vizeze reducerea interferențelor cu mediul înconjurător: activități </w:t>
      </w:r>
      <w:r w:rsidRPr="00A4370B">
        <w:rPr>
          <w:rFonts w:ascii="Times New Roman" w:hAnsi="Times New Roman" w:cs="Times New Roman"/>
        </w:rPr>
        <w:lastRenderedPageBreak/>
        <w:t>curente ale locuitorilor (comerciale, sociale, agricole, industriale), zone de recreere sau agrement, zone sensibile precum unități de învățământ, unități sanitare și arii naturale protejate.</w:t>
      </w:r>
    </w:p>
    <w:p w14:paraId="79CB0D7C" w14:textId="6553B092" w:rsidR="00A4370B" w:rsidRPr="00A4370B" w:rsidRDefault="00A4370B" w:rsidP="00A4370B">
      <w:pPr>
        <w:spacing w:after="0"/>
        <w:jc w:val="both"/>
        <w:rPr>
          <w:rFonts w:ascii="Times New Roman" w:hAnsi="Times New Roman" w:cs="Times New Roman"/>
        </w:rPr>
      </w:pPr>
      <w:r w:rsidRPr="00A4370B">
        <w:rPr>
          <w:rFonts w:ascii="Times New Roman" w:hAnsi="Times New Roman" w:cs="Times New Roman"/>
        </w:rPr>
        <w:t>Evitarea amplasării proiectelor în interiorul sau în imediata vecinătate a ariilor naturale protejate; dacă acest lucru nu este posibil, stabilirea măsurilor corespunzătoare, ținând cont de prevederile planurilor de management ale ariilor protejate sau prin aplicarea măsurilor de evitare, reducere și compensare a efectelor semnificative asupra mediului.</w:t>
      </w:r>
    </w:p>
    <w:p w14:paraId="7DD151C5" w14:textId="47B3D866" w:rsidR="00A4370B" w:rsidRDefault="00A4370B" w:rsidP="003255DC">
      <w:pPr>
        <w:spacing w:after="0"/>
        <w:jc w:val="both"/>
        <w:rPr>
          <w:rFonts w:ascii="Times New Roman" w:hAnsi="Times New Roman" w:cs="Times New Roman"/>
        </w:rPr>
      </w:pPr>
      <w:r w:rsidRPr="00A4370B">
        <w:rPr>
          <w:rFonts w:ascii="Times New Roman" w:hAnsi="Times New Roman" w:cs="Times New Roman"/>
        </w:rPr>
        <w:t>Elaborarea planurilor de management de mediu pentru proiecte, astfel încât performanțele de mediu să poată fi evaluate pe toată durata acestora (etapele de proiectare, construcție și operare).</w:t>
      </w:r>
    </w:p>
    <w:p w14:paraId="2D541C48" w14:textId="77777777" w:rsidR="003255DC" w:rsidRDefault="003255DC" w:rsidP="003255DC">
      <w:pPr>
        <w:jc w:val="both"/>
        <w:rPr>
          <w:rFonts w:ascii="Times New Roman" w:hAnsi="Times New Roman" w:cs="Times New Roman"/>
        </w:rPr>
      </w:pPr>
      <w:r>
        <w:rPr>
          <w:rFonts w:ascii="Times New Roman" w:hAnsi="Times New Roman" w:cs="Times New Roman"/>
        </w:rPr>
        <w:t xml:space="preserve">Împlementarea </w:t>
      </w:r>
      <w:r w:rsidRPr="00724C7B">
        <w:rPr>
          <w:rFonts w:ascii="Times New Roman" w:hAnsi="Times New Roman" w:cs="Times New Roman"/>
        </w:rPr>
        <w:t>Strategi</w:t>
      </w:r>
      <w:r>
        <w:rPr>
          <w:rFonts w:ascii="Times New Roman" w:hAnsi="Times New Roman" w:cs="Times New Roman"/>
        </w:rPr>
        <w:t>ei</w:t>
      </w:r>
      <w:r w:rsidRPr="00724C7B">
        <w:rPr>
          <w:rFonts w:ascii="Times New Roman" w:hAnsi="Times New Roman" w:cs="Times New Roman"/>
        </w:rPr>
        <w:t xml:space="preserve"> are </w:t>
      </w:r>
      <w:r>
        <w:rPr>
          <w:rFonts w:ascii="Times New Roman" w:hAnsi="Times New Roman" w:cs="Times New Roman"/>
        </w:rPr>
        <w:t>scopul de a oferi efecte</w:t>
      </w:r>
      <w:r w:rsidRPr="00724C7B">
        <w:rPr>
          <w:rFonts w:ascii="Times New Roman" w:hAnsi="Times New Roman" w:cs="Times New Roman"/>
        </w:rPr>
        <w:t xml:space="preserve"> pozitiv</w:t>
      </w:r>
      <w:r>
        <w:rPr>
          <w:rFonts w:ascii="Times New Roman" w:hAnsi="Times New Roman" w:cs="Times New Roman"/>
        </w:rPr>
        <w:t>e</w:t>
      </w:r>
      <w:r w:rsidRPr="00724C7B">
        <w:rPr>
          <w:rFonts w:ascii="Times New Roman" w:hAnsi="Times New Roman" w:cs="Times New Roman"/>
        </w:rPr>
        <w:t xml:space="preserve"> asupra mediului, prin reducerea emisiilor de GES, îmbunătățirea calității aerului și reducerea poluării industriale</w:t>
      </w:r>
      <w:r>
        <w:rPr>
          <w:rFonts w:ascii="Times New Roman" w:hAnsi="Times New Roman" w:cs="Times New Roman"/>
        </w:rPr>
        <w:t xml:space="preserve"> a mediului</w:t>
      </w:r>
      <w:r w:rsidRPr="00724C7B">
        <w:rPr>
          <w:rFonts w:ascii="Times New Roman" w:hAnsi="Times New Roman" w:cs="Times New Roman"/>
        </w:rPr>
        <w:t xml:space="preserve">. Totodată, există posibilitatea unor efecte negative </w:t>
      </w:r>
      <w:r>
        <w:rPr>
          <w:rFonts w:ascii="Times New Roman" w:hAnsi="Times New Roman" w:cs="Times New Roman"/>
        </w:rPr>
        <w:t>locale</w:t>
      </w:r>
      <w:r w:rsidRPr="00724C7B">
        <w:rPr>
          <w:rFonts w:ascii="Times New Roman" w:hAnsi="Times New Roman" w:cs="Times New Roman"/>
        </w:rPr>
        <w:t xml:space="preserve"> (legate de amplasarea infrastructurii energetice), ce vor necesita evaluări de mediu la nivelul proiectelor individuale.</w:t>
      </w:r>
    </w:p>
    <w:p w14:paraId="085B773A" w14:textId="7FA284DC" w:rsidR="00544819" w:rsidRDefault="008D616B" w:rsidP="008D616B">
      <w:pPr>
        <w:spacing w:after="0"/>
        <w:jc w:val="both"/>
        <w:rPr>
          <w:rFonts w:ascii="Times New Roman" w:hAnsi="Times New Roman" w:cs="Times New Roman"/>
        </w:rPr>
      </w:pPr>
      <w:r>
        <w:rPr>
          <w:rFonts w:ascii="Times New Roman" w:hAnsi="Times New Roman" w:cs="Times New Roman"/>
        </w:rPr>
        <w:t>Alte documente de politici care împreună cu Strategia ar putea produce efecte semnificative asupra mediului și sănătății:</w:t>
      </w:r>
    </w:p>
    <w:p w14:paraId="3BBC7ACC" w14:textId="56DFB6F8"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rPr>
        <w:t xml:space="preserve">- </w:t>
      </w:r>
      <w:r w:rsidRPr="008D616B">
        <w:rPr>
          <w:rFonts w:ascii="Times New Roman" w:hAnsi="Times New Roman" w:cs="Times New Roman"/>
          <w:lang w:val="ro-MD"/>
        </w:rPr>
        <w:t>Tratatul cu Comunitatea Energetică.</w:t>
      </w:r>
    </w:p>
    <w:p w14:paraId="529B84EF" w14:textId="62FD7887"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Convenția-Cadru a Națiunilor Unite privind Schimbările Climatice (UNFCCC). Acordul de la Paris.</w:t>
      </w:r>
    </w:p>
    <w:p w14:paraId="7F85A85A" w14:textId="3A59A136"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Pactul Verde European (inclusiv Legea Europeană a Climei – Regulamentul 2021/1119).</w:t>
      </w:r>
    </w:p>
    <w:p w14:paraId="04029D42" w14:textId="5DB90B87"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Strategia națională de dezvoltare „Moldova 2030”.</w:t>
      </w:r>
    </w:p>
    <w:p w14:paraId="698E649A" w14:textId="58195182"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Strategia de Mediu pentru anii 2014-2023 și Planul de acțiuni pentru implementarea acesteia.</w:t>
      </w:r>
    </w:p>
    <w:p w14:paraId="483C0143" w14:textId="598716CF"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Programul de dezvoltare a Republicii Moldova cu emisii reduse de gaze cu efect de seră până în 2030 și Planul de acțiuni pentru implementarea acestuia.</w:t>
      </w:r>
    </w:p>
    <w:p w14:paraId="468CD2E8" w14:textId="0698F205"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Programul național de adaptare la schimbările climatice până în 2030 și planul de acțiune al acestuia.</w:t>
      </w:r>
    </w:p>
    <w:p w14:paraId="04166D81" w14:textId="37764E22"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Programului de suprimare eșalonată a hidroclorofluorocarbu-rilor halogenate pentru anii 2016-2040 și a planurilor de acțiuni pentru implementarea acestuia.</w:t>
      </w:r>
    </w:p>
    <w:p w14:paraId="5D8A4C50" w14:textId="23817D39"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Strategia națională cu privire la reducerea și eliminarea poluanților organici persistenți și Planul National de implementare a Convenției de la Stockholm privind poluanții organici persistenți.</w:t>
      </w:r>
    </w:p>
    <w:p w14:paraId="09BC7FA8" w14:textId="515EC54A"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rPr>
        <w:t xml:space="preserve">- </w:t>
      </w:r>
      <w:r w:rsidRPr="008D616B">
        <w:rPr>
          <w:rFonts w:ascii="Times New Roman" w:hAnsi="Times New Roman" w:cs="Times New Roman"/>
          <w:lang w:val="ro-MD"/>
        </w:rPr>
        <w:t>Programul de îmbunătățiri funciare în scopul asigurării managementului durabil al resurselor de sol pentru anii 2021-2025 și Planul de acțiuni privind implementarea acestuia pentru anii 2021-2023.</w:t>
      </w:r>
    </w:p>
    <w:p w14:paraId="733D141D" w14:textId="5BE6A9B3"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Strategia Națională de Dezvoltare Agricolă și Rurală pentru anii 2014-2020.</w:t>
      </w:r>
    </w:p>
    <w:p w14:paraId="58593F1B" w14:textId="5CC23C04"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rPr>
        <w:t xml:space="preserve">- </w:t>
      </w:r>
      <w:r w:rsidRPr="008D616B">
        <w:rPr>
          <w:rFonts w:ascii="Times New Roman" w:hAnsi="Times New Roman" w:cs="Times New Roman"/>
          <w:lang w:val="ro-MD"/>
        </w:rPr>
        <w:t>Strategia de alimentare cu apă și sanitație, 2014 – 2030.</w:t>
      </w:r>
    </w:p>
    <w:p w14:paraId="21111FC3" w14:textId="0F604911"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Programul Național privind implementarea obiectivelor stabilite în temeiul Protocolului privind Apa și Sănătatea în Republica Moldova pentru anii 2016-2025.</w:t>
      </w:r>
    </w:p>
    <w:p w14:paraId="604929E4" w14:textId="7618B293"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Sectorul resurselor de apă din Republica Moldova este sensibil la schimbările climatice, reieșind din cantitatea și calitatea resurselor de apă.</w:t>
      </w:r>
    </w:p>
    <w:p w14:paraId="6CDFA599" w14:textId="0C99B7D9"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Programul național de prevenire și control al bolilor netransmisibile prioritare în Republica Moldova pentru anii 2023-2027.</w:t>
      </w:r>
    </w:p>
    <w:p w14:paraId="44235CF3" w14:textId="7283E634"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Strategia privind Diversitatea Biologică a Republicii Moldova pentru anii 2015-2020.</w:t>
      </w:r>
    </w:p>
    <w:p w14:paraId="61B349ED" w14:textId="186A8EBE"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b/>
          <w:bCs/>
        </w:rPr>
        <w:lastRenderedPageBreak/>
        <w:t xml:space="preserve">- </w:t>
      </w:r>
      <w:r w:rsidRPr="008D616B">
        <w:rPr>
          <w:rFonts w:ascii="Times New Roman" w:hAnsi="Times New Roman" w:cs="Times New Roman"/>
          <w:lang w:val="ro-MD"/>
        </w:rPr>
        <w:t>Strategia privind adaptarea sectorului forestier la schimbările climatice pentru anii 2018-2025 și Planul de acțiuni pentru implementarea acesteia (proiect).</w:t>
      </w:r>
    </w:p>
    <w:p w14:paraId="46214657" w14:textId="7F7A6E2A"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b/>
          <w:bCs/>
        </w:rPr>
        <w:t xml:space="preserve">- </w:t>
      </w:r>
      <w:r w:rsidRPr="008D616B">
        <w:rPr>
          <w:rFonts w:ascii="Times New Roman" w:hAnsi="Times New Roman" w:cs="Times New Roman"/>
          <w:lang w:val="ro-MD"/>
        </w:rPr>
        <w:t>Programul național de extindere și reabilitare a pădurilor pentru perioada 2023-2032 și Planul de acțiuni pentru implementarea acestuia pe perioada 2023-2027 (proiect).</w:t>
      </w:r>
    </w:p>
    <w:p w14:paraId="65825F42" w14:textId="46CF5983"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Strategia Energetică a Republicii Moldova până în anul 2030.</w:t>
      </w:r>
    </w:p>
    <w:p w14:paraId="0B6FA032" w14:textId="41C8F1B5"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Planul Național Integrat privind Energia și Climă 2025-2030.</w:t>
      </w:r>
    </w:p>
    <w:p w14:paraId="7AB07E72" w14:textId="23DA409A"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Programul Național pentru Eficiență Energetică 2011- 2020.</w:t>
      </w:r>
    </w:p>
    <w:p w14:paraId="175A7F33" w14:textId="13C86DB9"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xml:space="preserve">- Planul național de acțiuni în domeniul eficienței energetice pentru anii 2019-2021. </w:t>
      </w:r>
    </w:p>
    <w:p w14:paraId="0E75122C" w14:textId="77777777"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Planul național de acțiuni în domeniul energiei din surse regenerabile pentru anii 2013-2020.</w:t>
      </w:r>
    </w:p>
    <w:p w14:paraId="0F1275DE" w14:textId="77777777"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Programul cu privire la implementarea obligației privind renovarea clădirilor autorităților administrației publice centrale de specialitate pentru anii 2020-2022.</w:t>
      </w:r>
    </w:p>
    <w:p w14:paraId="0C0DDBFF" w14:textId="675A4026"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Strategia de gestionare a deșeurilor în Republica Moldova pentru anii 2013-2027.</w:t>
      </w:r>
    </w:p>
    <w:p w14:paraId="4FB580DA" w14:textId="4A2D8AA6" w:rsidR="008D616B" w:rsidRPr="008D616B" w:rsidRDefault="008D616B" w:rsidP="008D616B">
      <w:pPr>
        <w:spacing w:after="0"/>
        <w:ind w:left="142" w:hanging="142"/>
        <w:jc w:val="both"/>
        <w:rPr>
          <w:rFonts w:ascii="Times New Roman" w:hAnsi="Times New Roman" w:cs="Times New Roman"/>
          <w:lang w:val="ro-MD"/>
        </w:rPr>
      </w:pPr>
      <w:r w:rsidRPr="008D616B">
        <w:rPr>
          <w:rFonts w:ascii="Times New Roman" w:hAnsi="Times New Roman" w:cs="Times New Roman"/>
          <w:lang w:val="ro-MD"/>
        </w:rPr>
        <w:t>- Proiectul Programului de gestionare a deșeurilor pentru perioada 2022-2027 și Planul de acțiuni pentru implementarea acestuia.</w:t>
      </w:r>
    </w:p>
    <w:p w14:paraId="1B8FB99F" w14:textId="251173D7" w:rsidR="008D616B" w:rsidRPr="008D616B" w:rsidRDefault="008D616B" w:rsidP="008D616B">
      <w:pPr>
        <w:ind w:left="142" w:hanging="142"/>
        <w:jc w:val="both"/>
        <w:rPr>
          <w:rFonts w:ascii="Times New Roman" w:hAnsi="Times New Roman" w:cs="Times New Roman"/>
          <w:lang w:val="ro-MD"/>
        </w:rPr>
      </w:pPr>
      <w:r w:rsidRPr="008D616B">
        <w:rPr>
          <w:rFonts w:ascii="Times New Roman" w:hAnsi="Times New Roman" w:cs="Times New Roman"/>
          <w:lang w:val="ro-MD"/>
        </w:rPr>
        <w:t>- Programului național în domeniile cercetării și inovării pentru anii 2020-2023 și a Planului de acțiuni privind implementarea acestuia.</w:t>
      </w:r>
    </w:p>
    <w:p w14:paraId="7C51486C" w14:textId="4C0D1E5A" w:rsidR="003744EC" w:rsidRDefault="008D616B" w:rsidP="008D616B">
      <w:pPr>
        <w:ind w:left="851"/>
        <w:jc w:val="both"/>
        <w:rPr>
          <w:rFonts w:ascii="Times New Roman" w:hAnsi="Times New Roman" w:cs="Times New Roman"/>
          <w:u w:val="single"/>
        </w:rPr>
      </w:pPr>
      <w:r w:rsidRPr="008D616B">
        <w:rPr>
          <w:rFonts w:ascii="Times New Roman" w:hAnsi="Times New Roman" w:cs="Times New Roman"/>
          <w:lang w:val="ro-MD"/>
        </w:rPr>
        <w:t xml:space="preserve"> </w:t>
      </w:r>
      <w:r w:rsidR="003744EC">
        <w:rPr>
          <w:rFonts w:ascii="Times New Roman" w:hAnsi="Times New Roman" w:cs="Times New Roman"/>
          <w:u w:val="single"/>
        </w:rPr>
        <w:t>g) termenul de elaborare și metoda de aprobare a documentului de politici sau planificare</w:t>
      </w:r>
    </w:p>
    <w:p w14:paraId="5DE2E7A9" w14:textId="7EB9DAF5" w:rsidR="0023357F" w:rsidRPr="0023357F" w:rsidRDefault="0023357F" w:rsidP="0023357F">
      <w:pPr>
        <w:jc w:val="both"/>
        <w:rPr>
          <w:rFonts w:ascii="Times New Roman" w:hAnsi="Times New Roman" w:cs="Times New Roman"/>
        </w:rPr>
      </w:pPr>
      <w:r w:rsidRPr="0023357F">
        <w:rPr>
          <w:rFonts w:ascii="Times New Roman" w:hAnsi="Times New Roman" w:cs="Times New Roman"/>
        </w:rPr>
        <w:t xml:space="preserve">Elaborarea proiectului Hotărârii Guvernului cu privire la aprobarea Strategiei energetice a Republicii Moldova pentru perioada 2025-2050 își are începutul în anul 2022, autoritate inițiatoare fiind Ministerul Infrastructurii și Dezvoltării Regionale a Republicii Moldova. Ulterior, la 17 februarie 2023 a fost constituit Ministerul Energiei, aprobat prin Hotărârea Guvernului 118/2023 în calitate de succesor pentru activitatea dată. Prin consultări cu Ministerul Mediului al Republicii Moldova a dost luată decizia, precum că Strategia energetică a Repăublicii Moldova pentru perioada 2025-2050 se </w:t>
      </w:r>
      <w:r w:rsidRPr="0023357F">
        <w:rPr>
          <w:rFonts w:ascii="Times New Roman" w:hAnsi="Times New Roman" w:cs="Times New Roman"/>
          <w:lang w:val="ro-MD"/>
        </w:rPr>
        <w:t>încadrează în prevederile art. 3 alin. (2) și (3) din Legea nr. 11/2017 și pct. 22 și pct. 23 din Ordinul MADRM nr. 219/2018, care sunt supuse în mod obligatoriu procedurii ESM.</w:t>
      </w:r>
      <w:r>
        <w:rPr>
          <w:rFonts w:ascii="Times New Roman" w:hAnsi="Times New Roman" w:cs="Times New Roman"/>
          <w:lang w:val="ro-MD"/>
        </w:rPr>
        <w:t xml:space="preserve"> Proiectul Strategiei va fi aprobat prin Hotărâre de Guvern.</w:t>
      </w:r>
      <w:r w:rsidR="00633739">
        <w:rPr>
          <w:rFonts w:ascii="Times New Roman" w:hAnsi="Times New Roman" w:cs="Times New Roman"/>
          <w:lang w:val="ro-MD"/>
        </w:rPr>
        <w:t xml:space="preserve"> Aprobarea era preconizată până în septembrie 2025.</w:t>
      </w:r>
    </w:p>
    <w:p w14:paraId="542BAC6D" w14:textId="042D685C" w:rsidR="003744EC" w:rsidRDefault="003744EC" w:rsidP="00320413">
      <w:pPr>
        <w:ind w:left="709"/>
        <w:jc w:val="both"/>
        <w:rPr>
          <w:rFonts w:ascii="Times New Roman" w:hAnsi="Times New Roman" w:cs="Times New Roman"/>
          <w:u w:val="single"/>
        </w:rPr>
      </w:pPr>
      <w:r>
        <w:rPr>
          <w:rFonts w:ascii="Times New Roman" w:hAnsi="Times New Roman" w:cs="Times New Roman"/>
          <w:u w:val="single"/>
        </w:rPr>
        <w:t>h) conceptul documentului de politici sau planificare</w:t>
      </w:r>
    </w:p>
    <w:p w14:paraId="6DEE5F2A" w14:textId="7508053C" w:rsidR="00633739" w:rsidRDefault="00CD2D6E" w:rsidP="00E55F9D">
      <w:pPr>
        <w:jc w:val="both"/>
        <w:rPr>
          <w:rFonts w:ascii="Times New Roman" w:hAnsi="Times New Roman" w:cs="Times New Roman"/>
        </w:rPr>
      </w:pPr>
      <w:r>
        <w:rPr>
          <w:rFonts w:ascii="Times New Roman" w:hAnsi="Times New Roman" w:cs="Times New Roman"/>
        </w:rPr>
        <w:t xml:space="preserve">Necesitatea elaborării </w:t>
      </w:r>
      <w:r w:rsidR="00633739" w:rsidRPr="00724C7B">
        <w:rPr>
          <w:rFonts w:ascii="Times New Roman" w:hAnsi="Times New Roman" w:cs="Times New Roman"/>
        </w:rPr>
        <w:t>Strategi</w:t>
      </w:r>
      <w:r>
        <w:rPr>
          <w:rFonts w:ascii="Times New Roman" w:hAnsi="Times New Roman" w:cs="Times New Roman"/>
        </w:rPr>
        <w:t xml:space="preserve">ei este condiționată de </w:t>
      </w:r>
      <w:r w:rsidR="00633739" w:rsidRPr="00724C7B">
        <w:rPr>
          <w:rFonts w:ascii="Times New Roman" w:hAnsi="Times New Roman" w:cs="Times New Roman"/>
        </w:rPr>
        <w:t>propune</w:t>
      </w:r>
      <w:r>
        <w:rPr>
          <w:rFonts w:ascii="Times New Roman" w:hAnsi="Times New Roman" w:cs="Times New Roman"/>
        </w:rPr>
        <w:t>rea</w:t>
      </w:r>
      <w:r w:rsidR="00633739" w:rsidRPr="00724C7B">
        <w:rPr>
          <w:rFonts w:ascii="Times New Roman" w:hAnsi="Times New Roman" w:cs="Times New Roman"/>
        </w:rPr>
        <w:t xml:space="preserve"> tranziți</w:t>
      </w:r>
      <w:r>
        <w:rPr>
          <w:rFonts w:ascii="Times New Roman" w:hAnsi="Times New Roman" w:cs="Times New Roman"/>
        </w:rPr>
        <w:t>ei</w:t>
      </w:r>
      <w:r w:rsidR="00633739" w:rsidRPr="00724C7B">
        <w:rPr>
          <w:rFonts w:ascii="Times New Roman" w:hAnsi="Times New Roman" w:cs="Times New Roman"/>
        </w:rPr>
        <w:t xml:space="preserve"> spre un sistem energetic decarbonizat, competitiv și integrat în piața europeană, prin măsuri coerente în domeniile produc</w:t>
      </w:r>
      <w:r w:rsidR="00633739">
        <w:rPr>
          <w:rFonts w:ascii="Times New Roman" w:hAnsi="Times New Roman" w:cs="Times New Roman"/>
        </w:rPr>
        <w:t>erii</w:t>
      </w:r>
      <w:r w:rsidR="00633739" w:rsidRPr="00724C7B">
        <w:rPr>
          <w:rFonts w:ascii="Times New Roman" w:hAnsi="Times New Roman" w:cs="Times New Roman"/>
        </w:rPr>
        <w:t>, distribuției și consumului de energie, orientate spre sustenabilitate și securitate energetică.</w:t>
      </w:r>
    </w:p>
    <w:p w14:paraId="3D903DC8" w14:textId="6D4CBACB" w:rsidR="00CD2D6E" w:rsidRDefault="00CD2D6E" w:rsidP="00CD2D6E">
      <w:pPr>
        <w:spacing w:after="0"/>
        <w:jc w:val="both"/>
        <w:rPr>
          <w:rFonts w:ascii="Times New Roman" w:hAnsi="Times New Roman" w:cs="Times New Roman"/>
        </w:rPr>
      </w:pPr>
      <w:r>
        <w:rPr>
          <w:rFonts w:ascii="Times New Roman" w:hAnsi="Times New Roman" w:cs="Times New Roman"/>
        </w:rPr>
        <w:t>Părțile implicate sunt:</w:t>
      </w:r>
    </w:p>
    <w:p w14:paraId="17357446" w14:textId="114E072F" w:rsidR="00CD2D6E" w:rsidRDefault="00CD2D6E" w:rsidP="00CD2D6E">
      <w:pPr>
        <w:spacing w:after="0"/>
        <w:jc w:val="both"/>
        <w:rPr>
          <w:rFonts w:ascii="Times New Roman" w:hAnsi="Times New Roman" w:cs="Times New Roman"/>
        </w:rPr>
      </w:pPr>
      <w:r>
        <w:rPr>
          <w:rFonts w:ascii="Times New Roman" w:hAnsi="Times New Roman" w:cs="Times New Roman"/>
        </w:rPr>
        <w:t>- Agenția Națională pentru Reglementare în Energetică.</w:t>
      </w:r>
    </w:p>
    <w:p w14:paraId="337AA8BE" w14:textId="1FC2B274" w:rsidR="00CD2D6E" w:rsidRDefault="00CD2D6E" w:rsidP="00CD2D6E">
      <w:pPr>
        <w:spacing w:after="0"/>
        <w:jc w:val="both"/>
        <w:rPr>
          <w:rFonts w:ascii="Times New Roman" w:hAnsi="Times New Roman"/>
        </w:rPr>
      </w:pPr>
      <w:r>
        <w:rPr>
          <w:rFonts w:ascii="Times New Roman" w:hAnsi="Times New Roman" w:cs="Times New Roman"/>
        </w:rPr>
        <w:t xml:space="preserve">- </w:t>
      </w:r>
      <w:r w:rsidRPr="000335F8">
        <w:rPr>
          <w:rFonts w:ascii="Times New Roman" w:hAnsi="Times New Roman"/>
        </w:rPr>
        <w:t>Î.S. „Moldelectrica” și „Vestmoldtransgaz” S.R.L.</w:t>
      </w:r>
    </w:p>
    <w:p w14:paraId="0487BDB1" w14:textId="38B8C3A7" w:rsidR="00CD2D6E" w:rsidRDefault="00CD2D6E" w:rsidP="00CD2D6E">
      <w:pPr>
        <w:spacing w:after="0"/>
        <w:jc w:val="both"/>
        <w:rPr>
          <w:rFonts w:ascii="Times New Roman" w:hAnsi="Times New Roman"/>
        </w:rPr>
      </w:pPr>
      <w:r>
        <w:rPr>
          <w:rFonts w:ascii="Times New Roman" w:hAnsi="Times New Roman"/>
        </w:rPr>
        <w:t>- Centrul Național pentru Energie Durabilă.</w:t>
      </w:r>
    </w:p>
    <w:p w14:paraId="0D65CA38" w14:textId="257D834D" w:rsidR="00CD2D6E" w:rsidRDefault="00CD2D6E" w:rsidP="00CD2D6E">
      <w:pPr>
        <w:spacing w:after="0"/>
        <w:jc w:val="both"/>
        <w:rPr>
          <w:rFonts w:ascii="Times New Roman" w:hAnsi="Times New Roman"/>
        </w:rPr>
      </w:pPr>
      <w:r>
        <w:rPr>
          <w:rFonts w:ascii="Times New Roman" w:hAnsi="Times New Roman"/>
        </w:rPr>
        <w:t>- Ministerul Mediului.</w:t>
      </w:r>
    </w:p>
    <w:p w14:paraId="61ABF16F" w14:textId="45A94D21" w:rsidR="00CD2D6E" w:rsidRDefault="00CD2D6E" w:rsidP="00CD2D6E">
      <w:pPr>
        <w:spacing w:after="0"/>
        <w:jc w:val="both"/>
        <w:rPr>
          <w:rFonts w:ascii="Times New Roman" w:hAnsi="Times New Roman"/>
        </w:rPr>
      </w:pPr>
      <w:r>
        <w:rPr>
          <w:rFonts w:ascii="Times New Roman" w:hAnsi="Times New Roman"/>
        </w:rPr>
        <w:t xml:space="preserve">- </w:t>
      </w:r>
      <w:r w:rsidRPr="000335F8">
        <w:rPr>
          <w:rFonts w:ascii="Times New Roman" w:hAnsi="Times New Roman"/>
        </w:rPr>
        <w:t>Ministerului Infrastructurii și Dezvoltării Regionale</w:t>
      </w:r>
      <w:r>
        <w:rPr>
          <w:rFonts w:ascii="Times New Roman" w:hAnsi="Times New Roman"/>
        </w:rPr>
        <w:t>.</w:t>
      </w:r>
    </w:p>
    <w:p w14:paraId="680CCB6F" w14:textId="7A5E426E" w:rsidR="00CD2D6E" w:rsidRDefault="00CD2D6E" w:rsidP="00CD2D6E">
      <w:pPr>
        <w:spacing w:after="0"/>
        <w:jc w:val="both"/>
        <w:rPr>
          <w:rFonts w:ascii="Times New Roman" w:hAnsi="Times New Roman"/>
        </w:rPr>
      </w:pPr>
      <w:r>
        <w:rPr>
          <w:rFonts w:ascii="Times New Roman" w:hAnsi="Times New Roman"/>
        </w:rPr>
        <w:lastRenderedPageBreak/>
        <w:t xml:space="preserve">- </w:t>
      </w:r>
      <w:r w:rsidRPr="000335F8">
        <w:rPr>
          <w:rFonts w:ascii="Times New Roman" w:hAnsi="Times New Roman"/>
        </w:rPr>
        <w:t>Ministerul Educației și Cercetării</w:t>
      </w:r>
      <w:r>
        <w:rPr>
          <w:rFonts w:ascii="Times New Roman" w:hAnsi="Times New Roman"/>
        </w:rPr>
        <w:t>.</w:t>
      </w:r>
    </w:p>
    <w:p w14:paraId="131B55CA" w14:textId="4B03DA84" w:rsidR="00CD2D6E" w:rsidRDefault="00CD2D6E" w:rsidP="00CD2D6E">
      <w:pPr>
        <w:spacing w:after="0"/>
        <w:jc w:val="both"/>
        <w:rPr>
          <w:rFonts w:ascii="Times New Roman" w:hAnsi="Times New Roman"/>
        </w:rPr>
      </w:pPr>
      <w:r>
        <w:rPr>
          <w:rFonts w:ascii="Times New Roman" w:hAnsi="Times New Roman"/>
        </w:rPr>
        <w:t xml:space="preserve">- </w:t>
      </w:r>
      <w:r w:rsidRPr="000335F8">
        <w:rPr>
          <w:rFonts w:ascii="Times New Roman" w:hAnsi="Times New Roman"/>
        </w:rPr>
        <w:t>Ministerul Finanțelor</w:t>
      </w:r>
      <w:r>
        <w:rPr>
          <w:rFonts w:ascii="Times New Roman" w:hAnsi="Times New Roman"/>
        </w:rPr>
        <w:t>.</w:t>
      </w:r>
    </w:p>
    <w:p w14:paraId="3122B2C4" w14:textId="192DFC7E" w:rsidR="00CD2D6E" w:rsidRDefault="00CD2D6E" w:rsidP="00CD2D6E">
      <w:pPr>
        <w:spacing w:after="0"/>
        <w:jc w:val="both"/>
        <w:rPr>
          <w:rFonts w:ascii="Times New Roman" w:hAnsi="Times New Roman"/>
        </w:rPr>
      </w:pPr>
      <w:r>
        <w:rPr>
          <w:rFonts w:ascii="Times New Roman" w:hAnsi="Times New Roman"/>
        </w:rPr>
        <w:t>- Biroul Național de Statistică.</w:t>
      </w:r>
    </w:p>
    <w:p w14:paraId="60B24E9C" w14:textId="130B7FBE" w:rsidR="00CD2D6E" w:rsidRPr="00724C7B" w:rsidRDefault="004E3B04" w:rsidP="00CD2D6E">
      <w:pPr>
        <w:jc w:val="both"/>
        <w:rPr>
          <w:rFonts w:ascii="Times New Roman" w:hAnsi="Times New Roman" w:cs="Times New Roman"/>
        </w:rPr>
      </w:pPr>
      <w:r>
        <w:rPr>
          <w:rFonts w:ascii="Times New Roman" w:hAnsi="Times New Roman"/>
        </w:rPr>
        <w:t xml:space="preserve">- </w:t>
      </w:r>
      <w:r w:rsidR="00CD2D6E">
        <w:rPr>
          <w:rFonts w:ascii="Times New Roman" w:hAnsi="Times New Roman"/>
        </w:rPr>
        <w:t>Agenția de Investiții din Moldova și altele.</w:t>
      </w:r>
    </w:p>
    <w:p w14:paraId="25009AF4" w14:textId="63856994" w:rsidR="003744EC" w:rsidRDefault="003744EC" w:rsidP="006C1E30">
      <w:pPr>
        <w:ind w:firstLine="709"/>
        <w:jc w:val="both"/>
        <w:rPr>
          <w:rFonts w:ascii="Times New Roman" w:hAnsi="Times New Roman" w:cs="Times New Roman"/>
          <w:u w:val="single"/>
        </w:rPr>
      </w:pPr>
      <w:r>
        <w:rPr>
          <w:rFonts w:ascii="Times New Roman" w:hAnsi="Times New Roman" w:cs="Times New Roman"/>
          <w:u w:val="single"/>
        </w:rPr>
        <w:t>g) natura modificărilor propuse de documentul de politici și planificare care a fost supus anterior evaluării strategice, după caz</w:t>
      </w:r>
    </w:p>
    <w:p w14:paraId="4E70E18B" w14:textId="77777777" w:rsidR="00544819" w:rsidRPr="00724C7B" w:rsidRDefault="00544819" w:rsidP="006C1E30">
      <w:pPr>
        <w:jc w:val="both"/>
        <w:rPr>
          <w:rFonts w:ascii="Times New Roman" w:hAnsi="Times New Roman" w:cs="Times New Roman"/>
        </w:rPr>
      </w:pPr>
      <w:r w:rsidRPr="00724C7B">
        <w:rPr>
          <w:rFonts w:ascii="Times New Roman" w:hAnsi="Times New Roman" w:cs="Times New Roman"/>
        </w:rPr>
        <w:t>Nu este cazul – Strategia energetică până în 2050 reprezintă un document nou de politici publice.</w:t>
      </w:r>
    </w:p>
    <w:p w14:paraId="14BB4929" w14:textId="7B04AE26" w:rsidR="003744EC" w:rsidRDefault="003744EC" w:rsidP="00320413">
      <w:pPr>
        <w:ind w:left="709"/>
        <w:jc w:val="both"/>
        <w:rPr>
          <w:rFonts w:ascii="Times New Roman" w:hAnsi="Times New Roman" w:cs="Times New Roman"/>
          <w:b/>
          <w:bCs/>
          <w:i/>
          <w:iCs/>
          <w:u w:val="single"/>
        </w:rPr>
      </w:pPr>
      <w:r w:rsidRPr="003744EC">
        <w:rPr>
          <w:rFonts w:ascii="Times New Roman" w:hAnsi="Times New Roman" w:cs="Times New Roman"/>
          <w:b/>
          <w:bCs/>
          <w:i/>
          <w:iCs/>
          <w:u w:val="single"/>
        </w:rPr>
        <w:t>3) informații privind teritoriul afectat:</w:t>
      </w:r>
    </w:p>
    <w:p w14:paraId="00CC971D" w14:textId="1AC1B3F4" w:rsidR="004B220A" w:rsidRDefault="004B220A" w:rsidP="00320413">
      <w:pPr>
        <w:ind w:left="709"/>
        <w:jc w:val="both"/>
        <w:rPr>
          <w:rFonts w:ascii="Times New Roman" w:hAnsi="Times New Roman" w:cs="Times New Roman"/>
          <w:u w:val="single"/>
        </w:rPr>
      </w:pPr>
      <w:r w:rsidRPr="004B220A">
        <w:rPr>
          <w:rFonts w:ascii="Times New Roman" w:hAnsi="Times New Roman" w:cs="Times New Roman"/>
          <w:u w:val="single"/>
        </w:rPr>
        <w:t>a) stabilirea teritoriului afectat</w:t>
      </w:r>
    </w:p>
    <w:p w14:paraId="6117052B" w14:textId="77777777" w:rsidR="006C1E30" w:rsidRPr="00724C7B" w:rsidRDefault="006C1E30" w:rsidP="002429E1">
      <w:pPr>
        <w:jc w:val="both"/>
        <w:rPr>
          <w:rFonts w:ascii="Times New Roman" w:hAnsi="Times New Roman" w:cs="Times New Roman"/>
        </w:rPr>
      </w:pPr>
      <w:r w:rsidRPr="00724C7B">
        <w:rPr>
          <w:rFonts w:ascii="Times New Roman" w:hAnsi="Times New Roman" w:cs="Times New Roman"/>
        </w:rPr>
        <w:t>Strategia se aplică la nivel național, cu impact potențial în toate regiunile administrative ale Republicii Moldova.</w:t>
      </w:r>
    </w:p>
    <w:p w14:paraId="041BB94E" w14:textId="649CFD9A" w:rsidR="004B220A" w:rsidRDefault="004B220A" w:rsidP="00320413">
      <w:pPr>
        <w:ind w:left="709"/>
        <w:jc w:val="both"/>
        <w:rPr>
          <w:rFonts w:ascii="Times New Roman" w:hAnsi="Times New Roman" w:cs="Times New Roman"/>
          <w:u w:val="single"/>
        </w:rPr>
      </w:pPr>
      <w:r>
        <w:rPr>
          <w:rFonts w:ascii="Times New Roman" w:hAnsi="Times New Roman" w:cs="Times New Roman"/>
          <w:u w:val="single"/>
        </w:rPr>
        <w:t>b) principalele caracteristici și probleme de mediu din teritoriul afectat</w:t>
      </w:r>
    </w:p>
    <w:p w14:paraId="50644B2F" w14:textId="3F294878" w:rsidR="0066723F" w:rsidRPr="00724C7B" w:rsidRDefault="006C1E30" w:rsidP="00724C7B">
      <w:pPr>
        <w:jc w:val="both"/>
        <w:rPr>
          <w:rFonts w:ascii="Times New Roman" w:hAnsi="Times New Roman" w:cs="Times New Roman"/>
        </w:rPr>
      </w:pPr>
      <w:r w:rsidRPr="00724C7B">
        <w:rPr>
          <w:rFonts w:ascii="Times New Roman" w:hAnsi="Times New Roman" w:cs="Times New Roman"/>
        </w:rPr>
        <w:t>Problemele de mediu relevante includ nivelul ridicat al emisiilor de GES provenite din producerea de energie, calitatea scăzută a aerului în zone urbane, vulnerabilitatea la schimbări climatice, dependența ridicată de combustibili fosili importați și lipsa infrastructurii moderne de stocare și interconectare energetică.</w:t>
      </w:r>
    </w:p>
    <w:sectPr w:rsidR="0066723F" w:rsidRPr="00724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20D0"/>
    <w:multiLevelType w:val="hybridMultilevel"/>
    <w:tmpl w:val="EEA8304C"/>
    <w:lvl w:ilvl="0" w:tplc="FD428D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74777C"/>
    <w:multiLevelType w:val="multilevel"/>
    <w:tmpl w:val="3088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21705"/>
    <w:multiLevelType w:val="multilevel"/>
    <w:tmpl w:val="7CC4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D430A"/>
    <w:multiLevelType w:val="hybridMultilevel"/>
    <w:tmpl w:val="29620180"/>
    <w:lvl w:ilvl="0" w:tplc="2B246D8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8357A3"/>
    <w:multiLevelType w:val="hybridMultilevel"/>
    <w:tmpl w:val="2EEA2B4A"/>
    <w:lvl w:ilvl="0" w:tplc="C11A88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676EA"/>
    <w:multiLevelType w:val="multilevel"/>
    <w:tmpl w:val="9BC0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F0157"/>
    <w:multiLevelType w:val="multilevel"/>
    <w:tmpl w:val="354A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A10F4"/>
    <w:multiLevelType w:val="hybridMultilevel"/>
    <w:tmpl w:val="49AA8B4E"/>
    <w:lvl w:ilvl="0" w:tplc="FD428D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CE14BB"/>
    <w:multiLevelType w:val="hybridMultilevel"/>
    <w:tmpl w:val="79F4FA68"/>
    <w:lvl w:ilvl="0" w:tplc="FD428DA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B4C77C4"/>
    <w:multiLevelType w:val="hybridMultilevel"/>
    <w:tmpl w:val="D8C0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DA2D62"/>
    <w:multiLevelType w:val="multilevel"/>
    <w:tmpl w:val="86A0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B71DEE"/>
    <w:multiLevelType w:val="multilevel"/>
    <w:tmpl w:val="E47E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3349B4"/>
    <w:multiLevelType w:val="multilevel"/>
    <w:tmpl w:val="7A0A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D9450C"/>
    <w:multiLevelType w:val="multilevel"/>
    <w:tmpl w:val="227A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206030">
    <w:abstractNumId w:val="11"/>
  </w:num>
  <w:num w:numId="2" w16cid:durableId="1980302838">
    <w:abstractNumId w:val="1"/>
  </w:num>
  <w:num w:numId="3" w16cid:durableId="1741827905">
    <w:abstractNumId w:val="10"/>
  </w:num>
  <w:num w:numId="4" w16cid:durableId="192765231">
    <w:abstractNumId w:val="3"/>
  </w:num>
  <w:num w:numId="5" w16cid:durableId="1843887614">
    <w:abstractNumId w:val="8"/>
  </w:num>
  <w:num w:numId="6" w16cid:durableId="40062971">
    <w:abstractNumId w:val="0"/>
  </w:num>
  <w:num w:numId="7" w16cid:durableId="1616908559">
    <w:abstractNumId w:val="7"/>
  </w:num>
  <w:num w:numId="8" w16cid:durableId="1233274554">
    <w:abstractNumId w:val="2"/>
  </w:num>
  <w:num w:numId="9" w16cid:durableId="825822515">
    <w:abstractNumId w:val="5"/>
  </w:num>
  <w:num w:numId="10" w16cid:durableId="2002464510">
    <w:abstractNumId w:val="6"/>
  </w:num>
  <w:num w:numId="11" w16cid:durableId="585306061">
    <w:abstractNumId w:val="13"/>
  </w:num>
  <w:num w:numId="12" w16cid:durableId="848181860">
    <w:abstractNumId w:val="12"/>
  </w:num>
  <w:num w:numId="13" w16cid:durableId="1387144752">
    <w:abstractNumId w:val="9"/>
  </w:num>
  <w:num w:numId="14" w16cid:durableId="1837188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7B"/>
    <w:rsid w:val="00006E94"/>
    <w:rsid w:val="000602A5"/>
    <w:rsid w:val="00062138"/>
    <w:rsid w:val="00085DF4"/>
    <w:rsid w:val="000B3B76"/>
    <w:rsid w:val="000C63C7"/>
    <w:rsid w:val="000C6C3C"/>
    <w:rsid w:val="00102C48"/>
    <w:rsid w:val="001265B0"/>
    <w:rsid w:val="00132DDE"/>
    <w:rsid w:val="001B011C"/>
    <w:rsid w:val="0023357F"/>
    <w:rsid w:val="002429E1"/>
    <w:rsid w:val="00265F85"/>
    <w:rsid w:val="002A7B18"/>
    <w:rsid w:val="002D54F5"/>
    <w:rsid w:val="00320413"/>
    <w:rsid w:val="003255DC"/>
    <w:rsid w:val="003408C4"/>
    <w:rsid w:val="003744EC"/>
    <w:rsid w:val="003B6C4F"/>
    <w:rsid w:val="004832D3"/>
    <w:rsid w:val="004B220A"/>
    <w:rsid w:val="004E3B04"/>
    <w:rsid w:val="004F19FF"/>
    <w:rsid w:val="00544819"/>
    <w:rsid w:val="005C3354"/>
    <w:rsid w:val="00633739"/>
    <w:rsid w:val="00642A8A"/>
    <w:rsid w:val="00665B64"/>
    <w:rsid w:val="0066723F"/>
    <w:rsid w:val="006A2AA7"/>
    <w:rsid w:val="006C1E30"/>
    <w:rsid w:val="006E6A13"/>
    <w:rsid w:val="00724C7B"/>
    <w:rsid w:val="007971F2"/>
    <w:rsid w:val="007E7FDA"/>
    <w:rsid w:val="0082062F"/>
    <w:rsid w:val="00822EDB"/>
    <w:rsid w:val="00890D0C"/>
    <w:rsid w:val="008A63CB"/>
    <w:rsid w:val="008C5CB2"/>
    <w:rsid w:val="008D23FF"/>
    <w:rsid w:val="008D5114"/>
    <w:rsid w:val="008D616B"/>
    <w:rsid w:val="00947BB7"/>
    <w:rsid w:val="009938F5"/>
    <w:rsid w:val="00A4370B"/>
    <w:rsid w:val="00A93E38"/>
    <w:rsid w:val="00BC78E4"/>
    <w:rsid w:val="00BE47C2"/>
    <w:rsid w:val="00C370F2"/>
    <w:rsid w:val="00C54F5C"/>
    <w:rsid w:val="00C611E7"/>
    <w:rsid w:val="00C633CB"/>
    <w:rsid w:val="00C7359C"/>
    <w:rsid w:val="00CC71B3"/>
    <w:rsid w:val="00CD2D6E"/>
    <w:rsid w:val="00D03590"/>
    <w:rsid w:val="00D33A17"/>
    <w:rsid w:val="00D8684F"/>
    <w:rsid w:val="00DD1624"/>
    <w:rsid w:val="00E1232C"/>
    <w:rsid w:val="00E55F9D"/>
    <w:rsid w:val="00EE4390"/>
    <w:rsid w:val="00F0031C"/>
    <w:rsid w:val="00F972DD"/>
    <w:rsid w:val="00FB40F4"/>
    <w:rsid w:val="00FB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7BA0"/>
  <w15:chartTrackingRefBased/>
  <w15:docId w15:val="{7844DC01-D985-4A17-9107-DF030BC7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724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C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C7B"/>
    <w:rPr>
      <w:rFonts w:eastAsiaTheme="majorEastAsia" w:cstheme="majorBidi"/>
      <w:color w:val="272727" w:themeColor="text1" w:themeTint="D8"/>
    </w:rPr>
  </w:style>
  <w:style w:type="paragraph" w:styleId="Title">
    <w:name w:val="Title"/>
    <w:basedOn w:val="Normal"/>
    <w:next w:val="Normal"/>
    <w:link w:val="TitleChar"/>
    <w:uiPriority w:val="10"/>
    <w:qFormat/>
    <w:rsid w:val="0072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24C7B"/>
    <w:rPr>
      <w:i/>
      <w:iCs/>
      <w:color w:val="404040" w:themeColor="text1" w:themeTint="BF"/>
    </w:rPr>
  </w:style>
  <w:style w:type="paragraph" w:styleId="ListParagraph">
    <w:name w:val="List Paragraph"/>
    <w:basedOn w:val="Normal"/>
    <w:uiPriority w:val="34"/>
    <w:qFormat/>
    <w:rsid w:val="00724C7B"/>
    <w:pPr>
      <w:ind w:left="720"/>
      <w:contextualSpacing/>
    </w:pPr>
  </w:style>
  <w:style w:type="character" w:styleId="IntenseEmphasis">
    <w:name w:val="Intense Emphasis"/>
    <w:basedOn w:val="DefaultParagraphFont"/>
    <w:uiPriority w:val="21"/>
    <w:qFormat/>
    <w:rsid w:val="00724C7B"/>
    <w:rPr>
      <w:i/>
      <w:iCs/>
      <w:color w:val="0F4761" w:themeColor="accent1" w:themeShade="BF"/>
    </w:rPr>
  </w:style>
  <w:style w:type="paragraph" w:styleId="IntenseQuote">
    <w:name w:val="Intense Quote"/>
    <w:basedOn w:val="Normal"/>
    <w:next w:val="Normal"/>
    <w:link w:val="IntenseQuoteChar"/>
    <w:uiPriority w:val="30"/>
    <w:qFormat/>
    <w:rsid w:val="00724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C7B"/>
    <w:rPr>
      <w:i/>
      <w:iCs/>
      <w:color w:val="0F4761" w:themeColor="accent1" w:themeShade="BF"/>
    </w:rPr>
  </w:style>
  <w:style w:type="character" w:styleId="IntenseReference">
    <w:name w:val="Intense Reference"/>
    <w:basedOn w:val="DefaultParagraphFont"/>
    <w:uiPriority w:val="32"/>
    <w:qFormat/>
    <w:rsid w:val="00724C7B"/>
    <w:rPr>
      <w:b/>
      <w:bCs/>
      <w:smallCaps/>
      <w:color w:val="0F4761" w:themeColor="accent1" w:themeShade="BF"/>
      <w:spacing w:val="5"/>
    </w:rPr>
  </w:style>
  <w:style w:type="character" w:styleId="Hyperlink">
    <w:name w:val="Hyperlink"/>
    <w:basedOn w:val="DefaultParagraphFont"/>
    <w:uiPriority w:val="99"/>
    <w:unhideWhenUsed/>
    <w:rsid w:val="00C370F2"/>
    <w:rPr>
      <w:color w:val="467886" w:themeColor="hyperlink"/>
      <w:u w:val="single"/>
    </w:rPr>
  </w:style>
  <w:style w:type="character" w:styleId="UnresolvedMention">
    <w:name w:val="Unresolved Mention"/>
    <w:basedOn w:val="DefaultParagraphFont"/>
    <w:uiPriority w:val="99"/>
    <w:semiHidden/>
    <w:unhideWhenUsed/>
    <w:rsid w:val="00C370F2"/>
    <w:rPr>
      <w:color w:val="605E5C"/>
      <w:shd w:val="clear" w:color="auto" w:fill="E1DFDD"/>
    </w:rPr>
  </w:style>
  <w:style w:type="paragraph" w:styleId="Revision">
    <w:name w:val="Revision"/>
    <w:hidden/>
    <w:uiPriority w:val="99"/>
    <w:semiHidden/>
    <w:rsid w:val="00C370F2"/>
    <w:pPr>
      <w:spacing w:after="0" w:line="240" w:lineRule="auto"/>
    </w:pPr>
    <w:rPr>
      <w:noProof/>
    </w:rPr>
  </w:style>
  <w:style w:type="paragraph" w:styleId="NormalWeb">
    <w:name w:val="Normal (Web)"/>
    <w:basedOn w:val="Normal"/>
    <w:uiPriority w:val="99"/>
    <w:semiHidden/>
    <w:unhideWhenUsed/>
    <w:rsid w:val="008D23FF"/>
    <w:rPr>
      <w:rFonts w:ascii="Times New Roman" w:hAnsi="Times New Roman" w:cs="Times New Roman"/>
    </w:rPr>
  </w:style>
  <w:style w:type="table" w:styleId="TableGrid">
    <w:name w:val="Table Grid"/>
    <w:basedOn w:val="TableNormal"/>
    <w:uiPriority w:val="39"/>
    <w:rsid w:val="008D6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8727">
      <w:bodyDiv w:val="1"/>
      <w:marLeft w:val="0"/>
      <w:marRight w:val="0"/>
      <w:marTop w:val="0"/>
      <w:marBottom w:val="0"/>
      <w:divBdr>
        <w:top w:val="none" w:sz="0" w:space="0" w:color="auto"/>
        <w:left w:val="none" w:sz="0" w:space="0" w:color="auto"/>
        <w:bottom w:val="none" w:sz="0" w:space="0" w:color="auto"/>
        <w:right w:val="none" w:sz="0" w:space="0" w:color="auto"/>
      </w:divBdr>
    </w:div>
    <w:div w:id="173693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lad.vitu@energie.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473</TotalTime>
  <Pages>9</Pages>
  <Words>3895</Words>
  <Characters>22202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surse de energie regenerabilă și mobilitate verde</dc:creator>
  <cp:keywords/>
  <dc:description/>
  <cp:lastModifiedBy>Direcția surse de energie regenerabilă și mobilitate verde</cp:lastModifiedBy>
  <cp:revision>32</cp:revision>
  <dcterms:created xsi:type="dcterms:W3CDTF">2025-07-18T11:51:00Z</dcterms:created>
  <dcterms:modified xsi:type="dcterms:W3CDTF">2025-10-28T14:30:00Z</dcterms:modified>
</cp:coreProperties>
</file>